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61D4F" w14:textId="2542EAAD" w:rsidR="00082365" w:rsidRPr="00E820A3" w:rsidRDefault="00B80AAD" w:rsidP="00082365">
      <w:pPr>
        <w:spacing w:line="259" w:lineRule="auto"/>
        <w:jc w:val="center"/>
        <w:rPr>
          <w:rFonts w:asciiTheme="majorHAnsi" w:eastAsiaTheme="majorEastAsia" w:hAnsiTheme="majorHAnsi" w:cstheme="majorBidi"/>
          <w:b/>
          <w:bCs/>
          <w:color w:val="FFFFFF" w:themeColor="background1"/>
          <w:sz w:val="72"/>
          <w:szCs w:val="72"/>
        </w:rPr>
      </w:pPr>
      <w:r w:rsidRPr="00082365">
        <w:rPr>
          <w:rFonts w:asciiTheme="majorHAnsi" w:eastAsiaTheme="majorEastAsia" w:hAnsiTheme="majorHAnsi" w:cstheme="majorBidi"/>
          <w:b/>
          <w:bCs/>
          <w:noProof/>
          <w:color w:val="FFFFFF" w:themeColor="background1"/>
          <w:sz w:val="72"/>
          <w:szCs w:val="72"/>
        </w:rPr>
        <w:drawing>
          <wp:anchor distT="0" distB="0" distL="114300" distR="114300" simplePos="0" relativeHeight="251658240" behindDoc="1" locked="0" layoutInCell="1" allowOverlap="1" wp14:anchorId="18B55F13" wp14:editId="6D54255B">
            <wp:simplePos x="0" y="0"/>
            <wp:positionH relativeFrom="page">
              <wp:align>right</wp:align>
            </wp:positionH>
            <wp:positionV relativeFrom="paragraph">
              <wp:posOffset>-1257300</wp:posOffset>
            </wp:positionV>
            <wp:extent cx="7800856" cy="11096625"/>
            <wp:effectExtent l="0" t="0" r="0" b="0"/>
            <wp:wrapNone/>
            <wp:docPr id="1607509438" name="Picture 1" descr="A large rock formation in the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09438" name="Picture 1" descr="A large rock formation in the ocea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9573" cy="111232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82365" w:rsidRPr="00E820A3">
        <w:rPr>
          <w:rFonts w:asciiTheme="majorHAnsi" w:eastAsiaTheme="majorEastAsia" w:hAnsiTheme="majorHAnsi" w:cstheme="majorBidi"/>
          <w:b/>
          <w:bCs/>
          <w:color w:val="FFFFFF" w:themeColor="background1"/>
          <w:sz w:val="72"/>
          <w:szCs w:val="72"/>
        </w:rPr>
        <w:t>Rongomaiwahine</w:t>
      </w:r>
      <w:proofErr w:type="spellEnd"/>
      <w:r w:rsidR="00082365" w:rsidRPr="00E820A3">
        <w:rPr>
          <w:rFonts w:asciiTheme="majorHAnsi" w:eastAsiaTheme="majorEastAsia" w:hAnsiTheme="majorHAnsi" w:cstheme="majorBidi"/>
          <w:b/>
          <w:bCs/>
          <w:color w:val="FFFFFF" w:themeColor="background1"/>
          <w:sz w:val="72"/>
          <w:szCs w:val="72"/>
        </w:rPr>
        <w:t xml:space="preserve"> Iwi Trust Group</w:t>
      </w:r>
    </w:p>
    <w:p w14:paraId="7A8F23CE" w14:textId="77777777" w:rsidR="00082365" w:rsidRPr="00E820A3" w:rsidRDefault="00082365" w:rsidP="00082365">
      <w:pPr>
        <w:spacing w:line="259" w:lineRule="auto"/>
        <w:jc w:val="center"/>
        <w:rPr>
          <w:rFonts w:asciiTheme="majorHAnsi" w:eastAsiaTheme="majorEastAsia" w:hAnsiTheme="majorHAnsi" w:cstheme="majorBidi"/>
          <w:b/>
          <w:bCs/>
          <w:color w:val="FFFFFF" w:themeColor="background1"/>
          <w:sz w:val="56"/>
          <w:szCs w:val="56"/>
        </w:rPr>
      </w:pPr>
      <w:proofErr w:type="spellStart"/>
      <w:r w:rsidRPr="00E820A3">
        <w:rPr>
          <w:rFonts w:asciiTheme="majorHAnsi" w:eastAsiaTheme="majorEastAsia" w:hAnsiTheme="majorHAnsi" w:cstheme="majorBidi"/>
          <w:b/>
          <w:bCs/>
          <w:color w:val="FFFFFF" w:themeColor="background1"/>
          <w:sz w:val="56"/>
          <w:szCs w:val="56"/>
        </w:rPr>
        <w:t>Pūrongo</w:t>
      </w:r>
      <w:proofErr w:type="spellEnd"/>
      <w:r w:rsidRPr="00E820A3">
        <w:rPr>
          <w:rFonts w:asciiTheme="majorHAnsi" w:eastAsiaTheme="majorEastAsia" w:hAnsiTheme="majorHAnsi" w:cstheme="majorBidi"/>
          <w:b/>
          <w:bCs/>
          <w:color w:val="FFFFFF" w:themeColor="background1"/>
          <w:sz w:val="56"/>
          <w:szCs w:val="56"/>
        </w:rPr>
        <w:t xml:space="preserve"> ā-Tau 2024-25</w:t>
      </w:r>
    </w:p>
    <w:p w14:paraId="605D9A4F" w14:textId="77777777" w:rsidR="00082365" w:rsidRPr="00E820A3" w:rsidRDefault="00082365" w:rsidP="00082365">
      <w:pPr>
        <w:spacing w:line="259" w:lineRule="auto"/>
        <w:jc w:val="center"/>
        <w:rPr>
          <w:rFonts w:asciiTheme="majorHAnsi" w:eastAsiaTheme="majorEastAsia" w:hAnsiTheme="majorHAnsi" w:cstheme="majorBidi"/>
          <w:b/>
          <w:bCs/>
          <w:color w:val="FFFFFF" w:themeColor="background1"/>
          <w:sz w:val="56"/>
          <w:szCs w:val="56"/>
        </w:rPr>
      </w:pPr>
      <w:r w:rsidRPr="00E820A3">
        <w:rPr>
          <w:rFonts w:asciiTheme="majorHAnsi" w:eastAsiaTheme="majorEastAsia" w:hAnsiTheme="majorHAnsi" w:cstheme="majorBidi"/>
          <w:b/>
          <w:bCs/>
          <w:color w:val="FFFFFF" w:themeColor="background1"/>
          <w:sz w:val="56"/>
          <w:szCs w:val="56"/>
        </w:rPr>
        <w:t>Annual Report 2024-25</w:t>
      </w:r>
    </w:p>
    <w:p w14:paraId="01F5A7F0" w14:textId="77777777" w:rsidR="00082365" w:rsidRPr="00E820A3" w:rsidRDefault="00082365" w:rsidP="00082365">
      <w:pPr>
        <w:spacing w:line="259" w:lineRule="auto"/>
        <w:jc w:val="center"/>
        <w:rPr>
          <w:rFonts w:asciiTheme="majorHAnsi" w:eastAsiaTheme="majorEastAsia" w:hAnsiTheme="majorHAnsi" w:cstheme="majorBidi"/>
          <w:b/>
          <w:bCs/>
          <w:color w:val="FFFFFF" w:themeColor="background1"/>
          <w:sz w:val="36"/>
          <w:szCs w:val="36"/>
        </w:rPr>
      </w:pPr>
      <w:r w:rsidRPr="00E820A3">
        <w:rPr>
          <w:rFonts w:asciiTheme="majorHAnsi" w:eastAsiaTheme="majorEastAsia" w:hAnsiTheme="majorHAnsi" w:cstheme="majorBidi"/>
          <w:b/>
          <w:bCs/>
          <w:color w:val="FFFFFF" w:themeColor="background1"/>
          <w:sz w:val="36"/>
          <w:szCs w:val="36"/>
        </w:rPr>
        <w:t>(Year ended 30 June 2025)</w:t>
      </w:r>
    </w:p>
    <w:p w14:paraId="6D3D830C" w14:textId="6F525F46" w:rsidR="00E63EC9" w:rsidRPr="00B80AAD" w:rsidRDefault="00E63EC9" w:rsidP="00B80AAD">
      <w:pPr>
        <w:pStyle w:val="Heading1"/>
        <w:jc w:val="center"/>
        <w:rPr>
          <w:b/>
          <w:bCs/>
          <w:sz w:val="72"/>
          <w:szCs w:val="72"/>
        </w:rPr>
      </w:pPr>
    </w:p>
    <w:p w14:paraId="441CD6B3" w14:textId="180B2A52" w:rsidR="00A25D61" w:rsidRDefault="00A25D61">
      <w:pPr>
        <w:rPr>
          <w:b/>
          <w:bCs/>
        </w:rPr>
      </w:pPr>
      <w:r>
        <w:rPr>
          <w:b/>
          <w:bCs/>
        </w:rPr>
        <w:br w:type="page"/>
      </w:r>
    </w:p>
    <w:sdt>
      <w:sdtPr>
        <w:rPr>
          <w:rFonts w:asciiTheme="minorHAnsi" w:eastAsiaTheme="minorHAnsi" w:hAnsiTheme="minorHAnsi" w:cstheme="minorBidi"/>
          <w:color w:val="auto"/>
          <w:kern w:val="2"/>
          <w:sz w:val="24"/>
          <w:szCs w:val="24"/>
          <w:lang w:val="en-NZ"/>
          <w14:ligatures w14:val="standardContextual"/>
        </w:rPr>
        <w:id w:val="674539933"/>
        <w:docPartObj>
          <w:docPartGallery w:val="Table of Contents"/>
          <w:docPartUnique/>
        </w:docPartObj>
      </w:sdtPr>
      <w:sdtEndPr>
        <w:rPr>
          <w:b/>
          <w:bCs/>
          <w:noProof/>
        </w:rPr>
      </w:sdtEndPr>
      <w:sdtContent>
        <w:p w14:paraId="1BA983C8" w14:textId="7475BC1E" w:rsidR="00A25D61" w:rsidRDefault="00A25D61">
          <w:pPr>
            <w:pStyle w:val="TOCHeading"/>
          </w:pPr>
          <w:r>
            <w:t>Contents</w:t>
          </w:r>
        </w:p>
        <w:p w14:paraId="5DCF13D2" w14:textId="79C10D77" w:rsidR="005E2DD0" w:rsidRDefault="00A25D61">
          <w:pPr>
            <w:pStyle w:val="TOC2"/>
            <w:tabs>
              <w:tab w:val="right" w:leader="dot" w:pos="9016"/>
            </w:tabs>
            <w:rPr>
              <w:rFonts w:eastAsiaTheme="minorEastAsia"/>
              <w:noProof/>
              <w:lang w:eastAsia="en-NZ"/>
            </w:rPr>
          </w:pPr>
          <w:r>
            <w:fldChar w:fldCharType="begin"/>
          </w:r>
          <w:r>
            <w:instrText xml:space="preserve"> TOC \o "1-3" \h \z \u </w:instrText>
          </w:r>
          <w:r>
            <w:fldChar w:fldCharType="separate"/>
          </w:r>
          <w:hyperlink w:anchor="_Toc214702235" w:history="1">
            <w:r w:rsidR="005E2DD0" w:rsidRPr="00B6029F">
              <w:rPr>
                <w:rStyle w:val="Hyperlink"/>
                <w:noProof/>
              </w:rPr>
              <w:t>Directory</w:t>
            </w:r>
            <w:r w:rsidR="005E2DD0">
              <w:rPr>
                <w:noProof/>
                <w:webHidden/>
              </w:rPr>
              <w:tab/>
            </w:r>
            <w:r w:rsidR="005E2DD0">
              <w:rPr>
                <w:noProof/>
                <w:webHidden/>
              </w:rPr>
              <w:fldChar w:fldCharType="begin"/>
            </w:r>
            <w:r w:rsidR="005E2DD0">
              <w:rPr>
                <w:noProof/>
                <w:webHidden/>
              </w:rPr>
              <w:instrText xml:space="preserve"> PAGEREF _Toc214702235 \h </w:instrText>
            </w:r>
            <w:r w:rsidR="005E2DD0">
              <w:rPr>
                <w:noProof/>
                <w:webHidden/>
              </w:rPr>
            </w:r>
            <w:r w:rsidR="005E2DD0">
              <w:rPr>
                <w:noProof/>
                <w:webHidden/>
              </w:rPr>
              <w:fldChar w:fldCharType="separate"/>
            </w:r>
            <w:r w:rsidR="005E2DD0">
              <w:rPr>
                <w:noProof/>
                <w:webHidden/>
              </w:rPr>
              <w:t>3</w:t>
            </w:r>
            <w:r w:rsidR="005E2DD0">
              <w:rPr>
                <w:noProof/>
                <w:webHidden/>
              </w:rPr>
              <w:fldChar w:fldCharType="end"/>
            </w:r>
          </w:hyperlink>
        </w:p>
        <w:p w14:paraId="6C384E68" w14:textId="5C90B942" w:rsidR="005E2DD0" w:rsidRDefault="005E2DD0">
          <w:pPr>
            <w:pStyle w:val="TOC3"/>
            <w:tabs>
              <w:tab w:val="right" w:leader="dot" w:pos="9016"/>
            </w:tabs>
            <w:rPr>
              <w:rFonts w:eastAsiaTheme="minorEastAsia"/>
              <w:noProof/>
              <w:lang w:eastAsia="en-NZ"/>
            </w:rPr>
          </w:pPr>
          <w:hyperlink w:anchor="_Toc214702236" w:history="1">
            <w:r w:rsidRPr="00B6029F">
              <w:rPr>
                <w:rStyle w:val="Hyperlink"/>
                <w:noProof/>
              </w:rPr>
              <w:t>Officers</w:t>
            </w:r>
            <w:r>
              <w:rPr>
                <w:noProof/>
                <w:webHidden/>
              </w:rPr>
              <w:tab/>
            </w:r>
            <w:r>
              <w:rPr>
                <w:noProof/>
                <w:webHidden/>
              </w:rPr>
              <w:fldChar w:fldCharType="begin"/>
            </w:r>
            <w:r>
              <w:rPr>
                <w:noProof/>
                <w:webHidden/>
              </w:rPr>
              <w:instrText xml:space="preserve"> PAGEREF _Toc214702236 \h </w:instrText>
            </w:r>
            <w:r>
              <w:rPr>
                <w:noProof/>
                <w:webHidden/>
              </w:rPr>
            </w:r>
            <w:r>
              <w:rPr>
                <w:noProof/>
                <w:webHidden/>
              </w:rPr>
              <w:fldChar w:fldCharType="separate"/>
            </w:r>
            <w:r>
              <w:rPr>
                <w:noProof/>
                <w:webHidden/>
              </w:rPr>
              <w:t>3</w:t>
            </w:r>
            <w:r>
              <w:rPr>
                <w:noProof/>
                <w:webHidden/>
              </w:rPr>
              <w:fldChar w:fldCharType="end"/>
            </w:r>
          </w:hyperlink>
        </w:p>
        <w:p w14:paraId="4724D3EE" w14:textId="60E3BFE3" w:rsidR="005E2DD0" w:rsidRDefault="005E2DD0">
          <w:pPr>
            <w:pStyle w:val="TOC2"/>
            <w:tabs>
              <w:tab w:val="right" w:leader="dot" w:pos="9016"/>
            </w:tabs>
            <w:rPr>
              <w:rFonts w:eastAsiaTheme="minorEastAsia"/>
              <w:noProof/>
              <w:lang w:eastAsia="en-NZ"/>
            </w:rPr>
          </w:pPr>
          <w:hyperlink w:anchor="_Toc214702237" w:history="1">
            <w:r w:rsidRPr="00B6029F">
              <w:rPr>
                <w:rStyle w:val="Hyperlink"/>
                <w:noProof/>
              </w:rPr>
              <w:t>Rongomaiwahine Iwi Trust Board Members &amp; Marae Affiliation</w:t>
            </w:r>
            <w:r>
              <w:rPr>
                <w:noProof/>
                <w:webHidden/>
              </w:rPr>
              <w:tab/>
            </w:r>
            <w:r>
              <w:rPr>
                <w:noProof/>
                <w:webHidden/>
              </w:rPr>
              <w:fldChar w:fldCharType="begin"/>
            </w:r>
            <w:r>
              <w:rPr>
                <w:noProof/>
                <w:webHidden/>
              </w:rPr>
              <w:instrText xml:space="preserve"> PAGEREF _Toc214702237 \h </w:instrText>
            </w:r>
            <w:r>
              <w:rPr>
                <w:noProof/>
                <w:webHidden/>
              </w:rPr>
            </w:r>
            <w:r>
              <w:rPr>
                <w:noProof/>
                <w:webHidden/>
              </w:rPr>
              <w:fldChar w:fldCharType="separate"/>
            </w:r>
            <w:r>
              <w:rPr>
                <w:noProof/>
                <w:webHidden/>
              </w:rPr>
              <w:t>4</w:t>
            </w:r>
            <w:r>
              <w:rPr>
                <w:noProof/>
                <w:webHidden/>
              </w:rPr>
              <w:fldChar w:fldCharType="end"/>
            </w:r>
          </w:hyperlink>
        </w:p>
        <w:p w14:paraId="6AE33DE1" w14:textId="2B5C772D" w:rsidR="005E2DD0" w:rsidRDefault="005E2DD0">
          <w:pPr>
            <w:pStyle w:val="TOC3"/>
            <w:tabs>
              <w:tab w:val="right" w:leader="dot" w:pos="9016"/>
            </w:tabs>
            <w:rPr>
              <w:rFonts w:eastAsiaTheme="minorEastAsia"/>
              <w:noProof/>
              <w:lang w:eastAsia="en-NZ"/>
            </w:rPr>
          </w:pPr>
          <w:hyperlink w:anchor="_Toc214702238" w:history="1">
            <w:r w:rsidRPr="00B6029F">
              <w:rPr>
                <w:rStyle w:val="Hyperlink"/>
                <w:noProof/>
              </w:rPr>
              <w:t>Marae Trustee Members</w:t>
            </w:r>
            <w:r>
              <w:rPr>
                <w:noProof/>
                <w:webHidden/>
              </w:rPr>
              <w:tab/>
            </w:r>
            <w:r>
              <w:rPr>
                <w:noProof/>
                <w:webHidden/>
              </w:rPr>
              <w:fldChar w:fldCharType="begin"/>
            </w:r>
            <w:r>
              <w:rPr>
                <w:noProof/>
                <w:webHidden/>
              </w:rPr>
              <w:instrText xml:space="preserve"> PAGEREF _Toc214702238 \h </w:instrText>
            </w:r>
            <w:r>
              <w:rPr>
                <w:noProof/>
                <w:webHidden/>
              </w:rPr>
            </w:r>
            <w:r>
              <w:rPr>
                <w:noProof/>
                <w:webHidden/>
              </w:rPr>
              <w:fldChar w:fldCharType="separate"/>
            </w:r>
            <w:r>
              <w:rPr>
                <w:noProof/>
                <w:webHidden/>
              </w:rPr>
              <w:t>4</w:t>
            </w:r>
            <w:r>
              <w:rPr>
                <w:noProof/>
                <w:webHidden/>
              </w:rPr>
              <w:fldChar w:fldCharType="end"/>
            </w:r>
          </w:hyperlink>
        </w:p>
        <w:p w14:paraId="2AC9DA93" w14:textId="71A6F093" w:rsidR="005E2DD0" w:rsidRDefault="005E2DD0">
          <w:pPr>
            <w:pStyle w:val="TOC3"/>
            <w:tabs>
              <w:tab w:val="right" w:leader="dot" w:pos="9016"/>
            </w:tabs>
            <w:rPr>
              <w:rFonts w:eastAsiaTheme="minorEastAsia"/>
              <w:noProof/>
              <w:lang w:eastAsia="en-NZ"/>
            </w:rPr>
          </w:pPr>
          <w:hyperlink w:anchor="_Toc214702239" w:history="1">
            <w:r w:rsidRPr="00B6029F">
              <w:rPr>
                <w:rStyle w:val="Hyperlink"/>
                <w:noProof/>
              </w:rPr>
              <w:t>Non-Trustee Board Members</w:t>
            </w:r>
            <w:r>
              <w:rPr>
                <w:noProof/>
                <w:webHidden/>
              </w:rPr>
              <w:tab/>
            </w:r>
            <w:r>
              <w:rPr>
                <w:noProof/>
                <w:webHidden/>
              </w:rPr>
              <w:fldChar w:fldCharType="begin"/>
            </w:r>
            <w:r>
              <w:rPr>
                <w:noProof/>
                <w:webHidden/>
              </w:rPr>
              <w:instrText xml:space="preserve"> PAGEREF _Toc214702239 \h </w:instrText>
            </w:r>
            <w:r>
              <w:rPr>
                <w:noProof/>
                <w:webHidden/>
              </w:rPr>
            </w:r>
            <w:r>
              <w:rPr>
                <w:noProof/>
                <w:webHidden/>
              </w:rPr>
              <w:fldChar w:fldCharType="separate"/>
            </w:r>
            <w:r>
              <w:rPr>
                <w:noProof/>
                <w:webHidden/>
              </w:rPr>
              <w:t>5</w:t>
            </w:r>
            <w:r>
              <w:rPr>
                <w:noProof/>
                <w:webHidden/>
              </w:rPr>
              <w:fldChar w:fldCharType="end"/>
            </w:r>
          </w:hyperlink>
        </w:p>
        <w:p w14:paraId="1CD2FA5E" w14:textId="317B317A" w:rsidR="005E2DD0" w:rsidRDefault="005E2DD0">
          <w:pPr>
            <w:pStyle w:val="TOC2"/>
            <w:tabs>
              <w:tab w:val="right" w:leader="dot" w:pos="9016"/>
            </w:tabs>
            <w:rPr>
              <w:rFonts w:eastAsiaTheme="minorEastAsia"/>
              <w:noProof/>
              <w:lang w:eastAsia="en-NZ"/>
            </w:rPr>
          </w:pPr>
          <w:hyperlink w:anchor="_Toc214702240" w:history="1">
            <w:r w:rsidRPr="00B6029F">
              <w:rPr>
                <w:rStyle w:val="Hyperlink"/>
                <w:noProof/>
              </w:rPr>
              <w:t>He Kōrero a te Tiamana | Chair's Message</w:t>
            </w:r>
            <w:r>
              <w:rPr>
                <w:noProof/>
                <w:webHidden/>
              </w:rPr>
              <w:tab/>
            </w:r>
            <w:r>
              <w:rPr>
                <w:noProof/>
                <w:webHidden/>
              </w:rPr>
              <w:fldChar w:fldCharType="begin"/>
            </w:r>
            <w:r>
              <w:rPr>
                <w:noProof/>
                <w:webHidden/>
              </w:rPr>
              <w:instrText xml:space="preserve"> PAGEREF _Toc214702240 \h </w:instrText>
            </w:r>
            <w:r>
              <w:rPr>
                <w:noProof/>
                <w:webHidden/>
              </w:rPr>
            </w:r>
            <w:r>
              <w:rPr>
                <w:noProof/>
                <w:webHidden/>
              </w:rPr>
              <w:fldChar w:fldCharType="separate"/>
            </w:r>
            <w:r>
              <w:rPr>
                <w:noProof/>
                <w:webHidden/>
              </w:rPr>
              <w:t>6</w:t>
            </w:r>
            <w:r>
              <w:rPr>
                <w:noProof/>
                <w:webHidden/>
              </w:rPr>
              <w:fldChar w:fldCharType="end"/>
            </w:r>
          </w:hyperlink>
        </w:p>
        <w:p w14:paraId="64DBAE21" w14:textId="6CE81102" w:rsidR="005E2DD0" w:rsidRDefault="005E2DD0">
          <w:pPr>
            <w:pStyle w:val="TOC2"/>
            <w:tabs>
              <w:tab w:val="right" w:leader="dot" w:pos="9016"/>
            </w:tabs>
            <w:rPr>
              <w:rFonts w:eastAsiaTheme="minorEastAsia"/>
              <w:noProof/>
              <w:lang w:eastAsia="en-NZ"/>
            </w:rPr>
          </w:pPr>
          <w:hyperlink w:anchor="_Toc214702241" w:history="1">
            <w:r w:rsidRPr="00B6029F">
              <w:rPr>
                <w:rStyle w:val="Hyperlink"/>
                <w:noProof/>
              </w:rPr>
              <w:t xml:space="preserve"> He Whakarāpopotonga a te Kaiwhakahaere Matua | Chief Executive's Overview</w:t>
            </w:r>
            <w:r>
              <w:rPr>
                <w:noProof/>
                <w:webHidden/>
              </w:rPr>
              <w:tab/>
            </w:r>
            <w:r>
              <w:rPr>
                <w:noProof/>
                <w:webHidden/>
              </w:rPr>
              <w:fldChar w:fldCharType="begin"/>
            </w:r>
            <w:r>
              <w:rPr>
                <w:noProof/>
                <w:webHidden/>
              </w:rPr>
              <w:instrText xml:space="preserve"> PAGEREF _Toc214702241 \h </w:instrText>
            </w:r>
            <w:r>
              <w:rPr>
                <w:noProof/>
                <w:webHidden/>
              </w:rPr>
            </w:r>
            <w:r>
              <w:rPr>
                <w:noProof/>
                <w:webHidden/>
              </w:rPr>
              <w:fldChar w:fldCharType="separate"/>
            </w:r>
            <w:r>
              <w:rPr>
                <w:noProof/>
                <w:webHidden/>
              </w:rPr>
              <w:t>8</w:t>
            </w:r>
            <w:r>
              <w:rPr>
                <w:noProof/>
                <w:webHidden/>
              </w:rPr>
              <w:fldChar w:fldCharType="end"/>
            </w:r>
          </w:hyperlink>
        </w:p>
        <w:p w14:paraId="5AB41ADA" w14:textId="6CA2618E" w:rsidR="005E2DD0" w:rsidRDefault="005E2DD0">
          <w:pPr>
            <w:pStyle w:val="TOC2"/>
            <w:tabs>
              <w:tab w:val="right" w:leader="dot" w:pos="9016"/>
            </w:tabs>
            <w:rPr>
              <w:rFonts w:eastAsiaTheme="minorEastAsia"/>
              <w:noProof/>
              <w:lang w:eastAsia="en-NZ"/>
            </w:rPr>
          </w:pPr>
          <w:hyperlink w:anchor="_Toc214702242" w:history="1">
            <w:r w:rsidRPr="00B6029F">
              <w:rPr>
                <w:rStyle w:val="Hyperlink"/>
                <w:noProof/>
              </w:rPr>
              <w:t>Tātau Tātau Representative Message</w:t>
            </w:r>
            <w:r>
              <w:rPr>
                <w:noProof/>
                <w:webHidden/>
              </w:rPr>
              <w:tab/>
            </w:r>
            <w:r>
              <w:rPr>
                <w:noProof/>
                <w:webHidden/>
              </w:rPr>
              <w:fldChar w:fldCharType="begin"/>
            </w:r>
            <w:r>
              <w:rPr>
                <w:noProof/>
                <w:webHidden/>
              </w:rPr>
              <w:instrText xml:space="preserve"> PAGEREF _Toc214702242 \h </w:instrText>
            </w:r>
            <w:r>
              <w:rPr>
                <w:noProof/>
                <w:webHidden/>
              </w:rPr>
            </w:r>
            <w:r>
              <w:rPr>
                <w:noProof/>
                <w:webHidden/>
              </w:rPr>
              <w:fldChar w:fldCharType="separate"/>
            </w:r>
            <w:r>
              <w:rPr>
                <w:noProof/>
                <w:webHidden/>
              </w:rPr>
              <w:t>10</w:t>
            </w:r>
            <w:r>
              <w:rPr>
                <w:noProof/>
                <w:webHidden/>
              </w:rPr>
              <w:fldChar w:fldCharType="end"/>
            </w:r>
          </w:hyperlink>
        </w:p>
        <w:p w14:paraId="4A77087E" w14:textId="1724C3A6" w:rsidR="005E2DD0" w:rsidRDefault="005E2DD0">
          <w:pPr>
            <w:pStyle w:val="TOC2"/>
            <w:tabs>
              <w:tab w:val="right" w:leader="dot" w:pos="9016"/>
            </w:tabs>
            <w:rPr>
              <w:rFonts w:eastAsiaTheme="minorEastAsia"/>
              <w:noProof/>
              <w:lang w:eastAsia="en-NZ"/>
            </w:rPr>
          </w:pPr>
          <w:hyperlink w:anchor="_Toc214702243" w:history="1">
            <w:r w:rsidRPr="00B6029F">
              <w:rPr>
                <w:rStyle w:val="Hyperlink"/>
                <w:noProof/>
              </w:rPr>
              <w:t>Leon Symes, Tātau Tātau Representative</w:t>
            </w:r>
            <w:r>
              <w:rPr>
                <w:noProof/>
                <w:webHidden/>
              </w:rPr>
              <w:tab/>
            </w:r>
            <w:r>
              <w:rPr>
                <w:noProof/>
                <w:webHidden/>
              </w:rPr>
              <w:fldChar w:fldCharType="begin"/>
            </w:r>
            <w:r>
              <w:rPr>
                <w:noProof/>
                <w:webHidden/>
              </w:rPr>
              <w:instrText xml:space="preserve"> PAGEREF _Toc214702243 \h </w:instrText>
            </w:r>
            <w:r>
              <w:rPr>
                <w:noProof/>
                <w:webHidden/>
              </w:rPr>
            </w:r>
            <w:r>
              <w:rPr>
                <w:noProof/>
                <w:webHidden/>
              </w:rPr>
              <w:fldChar w:fldCharType="separate"/>
            </w:r>
            <w:r>
              <w:rPr>
                <w:noProof/>
                <w:webHidden/>
              </w:rPr>
              <w:t>10</w:t>
            </w:r>
            <w:r>
              <w:rPr>
                <w:noProof/>
                <w:webHidden/>
              </w:rPr>
              <w:fldChar w:fldCharType="end"/>
            </w:r>
          </w:hyperlink>
        </w:p>
        <w:p w14:paraId="538DA7CF" w14:textId="5C3A4101" w:rsidR="005E2DD0" w:rsidRDefault="005E2DD0">
          <w:pPr>
            <w:pStyle w:val="TOC2"/>
            <w:tabs>
              <w:tab w:val="right" w:leader="dot" w:pos="9016"/>
            </w:tabs>
            <w:rPr>
              <w:rFonts w:eastAsiaTheme="minorEastAsia"/>
              <w:noProof/>
              <w:lang w:eastAsia="en-NZ"/>
            </w:rPr>
          </w:pPr>
          <w:hyperlink w:anchor="_Toc214702244" w:history="1">
            <w:r w:rsidRPr="00B6029F">
              <w:rPr>
                <w:rStyle w:val="Hyperlink"/>
                <w:noProof/>
              </w:rPr>
              <w:t>Strategic Context</w:t>
            </w:r>
            <w:r>
              <w:rPr>
                <w:noProof/>
                <w:webHidden/>
              </w:rPr>
              <w:tab/>
            </w:r>
            <w:r>
              <w:rPr>
                <w:noProof/>
                <w:webHidden/>
              </w:rPr>
              <w:fldChar w:fldCharType="begin"/>
            </w:r>
            <w:r>
              <w:rPr>
                <w:noProof/>
                <w:webHidden/>
              </w:rPr>
              <w:instrText xml:space="preserve"> PAGEREF _Toc214702244 \h </w:instrText>
            </w:r>
            <w:r>
              <w:rPr>
                <w:noProof/>
                <w:webHidden/>
              </w:rPr>
            </w:r>
            <w:r>
              <w:rPr>
                <w:noProof/>
                <w:webHidden/>
              </w:rPr>
              <w:fldChar w:fldCharType="separate"/>
            </w:r>
            <w:r>
              <w:rPr>
                <w:noProof/>
                <w:webHidden/>
              </w:rPr>
              <w:t>12</w:t>
            </w:r>
            <w:r>
              <w:rPr>
                <w:noProof/>
                <w:webHidden/>
              </w:rPr>
              <w:fldChar w:fldCharType="end"/>
            </w:r>
          </w:hyperlink>
        </w:p>
        <w:p w14:paraId="7C6B8876" w14:textId="478D654E" w:rsidR="005E2DD0" w:rsidRDefault="005E2DD0">
          <w:pPr>
            <w:pStyle w:val="TOC2"/>
            <w:tabs>
              <w:tab w:val="right" w:leader="dot" w:pos="9016"/>
            </w:tabs>
            <w:rPr>
              <w:rFonts w:eastAsiaTheme="minorEastAsia"/>
              <w:noProof/>
              <w:lang w:eastAsia="en-NZ"/>
            </w:rPr>
          </w:pPr>
          <w:hyperlink w:anchor="_Toc214702245" w:history="1">
            <w:r w:rsidRPr="00B6029F">
              <w:rPr>
                <w:rStyle w:val="Hyperlink"/>
                <w:noProof/>
              </w:rPr>
              <w:t>Our Year: 2024-25 at a Glance</w:t>
            </w:r>
            <w:r>
              <w:rPr>
                <w:noProof/>
                <w:webHidden/>
              </w:rPr>
              <w:tab/>
            </w:r>
            <w:r>
              <w:rPr>
                <w:noProof/>
                <w:webHidden/>
              </w:rPr>
              <w:fldChar w:fldCharType="begin"/>
            </w:r>
            <w:r>
              <w:rPr>
                <w:noProof/>
                <w:webHidden/>
              </w:rPr>
              <w:instrText xml:space="preserve"> PAGEREF _Toc214702245 \h </w:instrText>
            </w:r>
            <w:r>
              <w:rPr>
                <w:noProof/>
                <w:webHidden/>
              </w:rPr>
            </w:r>
            <w:r>
              <w:rPr>
                <w:noProof/>
                <w:webHidden/>
              </w:rPr>
              <w:fldChar w:fldCharType="separate"/>
            </w:r>
            <w:r>
              <w:rPr>
                <w:noProof/>
                <w:webHidden/>
              </w:rPr>
              <w:t>12</w:t>
            </w:r>
            <w:r>
              <w:rPr>
                <w:noProof/>
                <w:webHidden/>
              </w:rPr>
              <w:fldChar w:fldCharType="end"/>
            </w:r>
          </w:hyperlink>
        </w:p>
        <w:p w14:paraId="445F1605" w14:textId="02C18E06" w:rsidR="005E2DD0" w:rsidRDefault="005E2DD0">
          <w:pPr>
            <w:pStyle w:val="TOC2"/>
            <w:tabs>
              <w:tab w:val="right" w:leader="dot" w:pos="9016"/>
            </w:tabs>
            <w:rPr>
              <w:rFonts w:eastAsiaTheme="minorEastAsia"/>
              <w:noProof/>
              <w:lang w:eastAsia="en-NZ"/>
            </w:rPr>
          </w:pPr>
          <w:hyperlink w:anchor="_Toc214702246" w:history="1">
            <w:r w:rsidRPr="00B6029F">
              <w:rPr>
                <w:rStyle w:val="Hyperlink"/>
                <w:noProof/>
              </w:rPr>
              <w:t>The Engine for Action: How We Delivered</w:t>
            </w:r>
            <w:r>
              <w:rPr>
                <w:noProof/>
                <w:webHidden/>
              </w:rPr>
              <w:tab/>
            </w:r>
            <w:r>
              <w:rPr>
                <w:noProof/>
                <w:webHidden/>
              </w:rPr>
              <w:fldChar w:fldCharType="begin"/>
            </w:r>
            <w:r>
              <w:rPr>
                <w:noProof/>
                <w:webHidden/>
              </w:rPr>
              <w:instrText xml:space="preserve"> PAGEREF _Toc214702246 \h </w:instrText>
            </w:r>
            <w:r>
              <w:rPr>
                <w:noProof/>
                <w:webHidden/>
              </w:rPr>
            </w:r>
            <w:r>
              <w:rPr>
                <w:noProof/>
                <w:webHidden/>
              </w:rPr>
              <w:fldChar w:fldCharType="separate"/>
            </w:r>
            <w:r>
              <w:rPr>
                <w:noProof/>
                <w:webHidden/>
              </w:rPr>
              <w:t>13</w:t>
            </w:r>
            <w:r>
              <w:rPr>
                <w:noProof/>
                <w:webHidden/>
              </w:rPr>
              <w:fldChar w:fldCharType="end"/>
            </w:r>
          </w:hyperlink>
        </w:p>
        <w:p w14:paraId="0EDCA11A" w14:textId="783033F5" w:rsidR="005E2DD0" w:rsidRDefault="005E2DD0">
          <w:pPr>
            <w:pStyle w:val="TOC2"/>
            <w:tabs>
              <w:tab w:val="right" w:leader="dot" w:pos="9016"/>
            </w:tabs>
            <w:rPr>
              <w:rFonts w:eastAsiaTheme="minorEastAsia"/>
              <w:noProof/>
              <w:lang w:eastAsia="en-NZ"/>
            </w:rPr>
          </w:pPr>
          <w:hyperlink w:anchor="_Toc214702247" w:history="1">
            <w:r w:rsidRPr="00B6029F">
              <w:rPr>
                <w:rStyle w:val="Hyperlink"/>
                <w:noProof/>
              </w:rPr>
              <w:t>Looking Forward: Implementing Our Annual Plan 2025-26</w:t>
            </w:r>
            <w:r>
              <w:rPr>
                <w:noProof/>
                <w:webHidden/>
              </w:rPr>
              <w:tab/>
            </w:r>
            <w:r>
              <w:rPr>
                <w:noProof/>
                <w:webHidden/>
              </w:rPr>
              <w:fldChar w:fldCharType="begin"/>
            </w:r>
            <w:r>
              <w:rPr>
                <w:noProof/>
                <w:webHidden/>
              </w:rPr>
              <w:instrText xml:space="preserve"> PAGEREF _Toc214702247 \h </w:instrText>
            </w:r>
            <w:r>
              <w:rPr>
                <w:noProof/>
                <w:webHidden/>
              </w:rPr>
            </w:r>
            <w:r>
              <w:rPr>
                <w:noProof/>
                <w:webHidden/>
              </w:rPr>
              <w:fldChar w:fldCharType="separate"/>
            </w:r>
            <w:r>
              <w:rPr>
                <w:noProof/>
                <w:webHidden/>
              </w:rPr>
              <w:t>15</w:t>
            </w:r>
            <w:r>
              <w:rPr>
                <w:noProof/>
                <w:webHidden/>
              </w:rPr>
              <w:fldChar w:fldCharType="end"/>
            </w:r>
          </w:hyperlink>
        </w:p>
        <w:p w14:paraId="411D0969" w14:textId="5D1DF0F7" w:rsidR="005E2DD0" w:rsidRDefault="005E2DD0">
          <w:pPr>
            <w:pStyle w:val="TOC2"/>
            <w:tabs>
              <w:tab w:val="right" w:leader="dot" w:pos="9016"/>
            </w:tabs>
            <w:rPr>
              <w:rFonts w:eastAsiaTheme="minorEastAsia"/>
              <w:noProof/>
              <w:lang w:eastAsia="en-NZ"/>
            </w:rPr>
          </w:pPr>
          <w:hyperlink w:anchor="_Toc214702248" w:history="1">
            <w:r w:rsidRPr="00B6029F">
              <w:rPr>
                <w:rStyle w:val="Hyperlink"/>
                <w:noProof/>
              </w:rPr>
              <w:t>Acknowledgements</w:t>
            </w:r>
            <w:r>
              <w:rPr>
                <w:noProof/>
                <w:webHidden/>
              </w:rPr>
              <w:tab/>
            </w:r>
            <w:r>
              <w:rPr>
                <w:noProof/>
                <w:webHidden/>
              </w:rPr>
              <w:fldChar w:fldCharType="begin"/>
            </w:r>
            <w:r>
              <w:rPr>
                <w:noProof/>
                <w:webHidden/>
              </w:rPr>
              <w:instrText xml:space="preserve"> PAGEREF _Toc214702248 \h </w:instrText>
            </w:r>
            <w:r>
              <w:rPr>
                <w:noProof/>
                <w:webHidden/>
              </w:rPr>
            </w:r>
            <w:r>
              <w:rPr>
                <w:noProof/>
                <w:webHidden/>
              </w:rPr>
              <w:fldChar w:fldCharType="separate"/>
            </w:r>
            <w:r>
              <w:rPr>
                <w:noProof/>
                <w:webHidden/>
              </w:rPr>
              <w:t>19</w:t>
            </w:r>
            <w:r>
              <w:rPr>
                <w:noProof/>
                <w:webHidden/>
              </w:rPr>
              <w:fldChar w:fldCharType="end"/>
            </w:r>
          </w:hyperlink>
        </w:p>
        <w:p w14:paraId="51314FCB" w14:textId="11FEC602" w:rsidR="00A25D61" w:rsidRDefault="00A25D61">
          <w:r>
            <w:rPr>
              <w:b/>
              <w:bCs/>
              <w:noProof/>
            </w:rPr>
            <w:fldChar w:fldCharType="end"/>
          </w:r>
        </w:p>
      </w:sdtContent>
    </w:sdt>
    <w:p w14:paraId="6F2645F6" w14:textId="3618AD80" w:rsidR="00B96ABE" w:rsidRDefault="00B96ABE">
      <w:pPr>
        <w:rPr>
          <w:b/>
          <w:bCs/>
          <w:noProof/>
        </w:rPr>
      </w:pPr>
    </w:p>
    <w:p w14:paraId="069FC75E" w14:textId="082DB24F" w:rsidR="00B80AAD" w:rsidRDefault="00E61D2D">
      <w:pPr>
        <w:rPr>
          <w:b/>
          <w:bCs/>
        </w:rPr>
      </w:pPr>
      <w:r>
        <w:rPr>
          <w:b/>
          <w:bCs/>
        </w:rPr>
        <w:br w:type="page"/>
      </w:r>
    </w:p>
    <w:p w14:paraId="77E2BFEA" w14:textId="3B059100" w:rsidR="00E61D2D" w:rsidRPr="00B80AAD" w:rsidRDefault="00E61D2D" w:rsidP="00B80AAD"/>
    <w:p w14:paraId="28E24D4A" w14:textId="5E514DA6" w:rsidR="00821CFC" w:rsidRPr="00821CFC" w:rsidRDefault="00821CFC" w:rsidP="00821CFC">
      <w:pPr>
        <w:pStyle w:val="Heading2"/>
        <w:rPr>
          <w:rFonts w:eastAsiaTheme="minorHAnsi"/>
        </w:rPr>
      </w:pPr>
      <w:bookmarkStart w:id="0" w:name="_Toc214702235"/>
      <w:r w:rsidRPr="00821CFC">
        <w:rPr>
          <w:rFonts w:eastAsiaTheme="minorHAnsi"/>
        </w:rPr>
        <w:t>Directory</w:t>
      </w:r>
      <w:bookmarkEnd w:id="0"/>
    </w:p>
    <w:p w14:paraId="36D02A02" w14:textId="4199204A" w:rsidR="00821CFC" w:rsidRPr="00821CFC" w:rsidRDefault="00FD1141" w:rsidP="00821CFC">
      <w:proofErr w:type="spellStart"/>
      <w:r w:rsidRPr="00FD1141">
        <w:t>Rongomaiwahine</w:t>
      </w:r>
      <w:proofErr w:type="spellEnd"/>
      <w:r w:rsidRPr="00FD1141">
        <w:t xml:space="preserve"> Iwi Trust, Discretionary Trust, Established: 2018</w:t>
      </w:r>
    </w:p>
    <w:p w14:paraId="678BB003" w14:textId="76EA35C5" w:rsidR="00821CFC" w:rsidRDefault="00821CFC" w:rsidP="00821CFC"/>
    <w:p w14:paraId="1B601110" w14:textId="3A32853D" w:rsidR="00821CFC" w:rsidRPr="00821CFC" w:rsidRDefault="00FD1141" w:rsidP="00821CFC">
      <w:proofErr w:type="spellStart"/>
      <w:r w:rsidRPr="00FD1141">
        <w:t>Rongomaiwahine</w:t>
      </w:r>
      <w:proofErr w:type="spellEnd"/>
      <w:r w:rsidRPr="00FD1141">
        <w:t xml:space="preserve"> Iwi Charitable Trust, Charitable Trust, Established: 1988</w:t>
      </w:r>
    </w:p>
    <w:p w14:paraId="4F7B5D37" w14:textId="79559F1E" w:rsidR="00821CFC" w:rsidRPr="00821CFC" w:rsidRDefault="00821CFC" w:rsidP="00821CFC"/>
    <w:p w14:paraId="0AB54918" w14:textId="37805C86" w:rsidR="00821CFC" w:rsidRPr="00821CFC" w:rsidRDefault="00821CFC" w:rsidP="00821CFC">
      <w:pPr>
        <w:pStyle w:val="Heading3"/>
        <w:rPr>
          <w:rFonts w:eastAsiaTheme="minorHAnsi"/>
        </w:rPr>
      </w:pPr>
      <w:bookmarkStart w:id="1" w:name="_Toc214702236"/>
      <w:r w:rsidRPr="00821CFC">
        <w:rPr>
          <w:rFonts w:eastAsiaTheme="minorHAnsi"/>
        </w:rPr>
        <w:t>Officers</w:t>
      </w:r>
      <w:bookmarkEnd w:id="1"/>
    </w:p>
    <w:p w14:paraId="01FBB032" w14:textId="355FC5F1" w:rsidR="00821CFC" w:rsidRPr="00821CFC" w:rsidRDefault="00821CFC" w:rsidP="00821CFC">
      <w:r w:rsidRPr="00821CFC">
        <w:t>Chairperson:</w:t>
      </w:r>
      <w:r>
        <w:t xml:space="preserve"> </w:t>
      </w:r>
      <w:r>
        <w:tab/>
      </w:r>
      <w:r>
        <w:tab/>
      </w:r>
      <w:r w:rsidRPr="00821CFC">
        <w:t>Paul Ratapu</w:t>
      </w:r>
    </w:p>
    <w:p w14:paraId="2FA32F5A" w14:textId="0369C1D6" w:rsidR="00821CFC" w:rsidRPr="00821CFC" w:rsidRDefault="00821CFC" w:rsidP="00821CFC">
      <w:r w:rsidRPr="00821CFC">
        <w:t>CEO:</w:t>
      </w:r>
      <w:r>
        <w:t xml:space="preserve"> </w:t>
      </w:r>
      <w:r>
        <w:tab/>
      </w:r>
      <w:r>
        <w:tab/>
      </w:r>
      <w:r>
        <w:tab/>
      </w:r>
      <w:r w:rsidRPr="00821CFC">
        <w:t>Terence Maru Junior</w:t>
      </w:r>
    </w:p>
    <w:p w14:paraId="225C6A96" w14:textId="0B3DDEB3" w:rsidR="00821CFC" w:rsidRPr="00821CFC" w:rsidRDefault="00821CFC" w:rsidP="00821CFC">
      <w:r w:rsidRPr="00821CFC">
        <w:t>Board Secretary:</w:t>
      </w:r>
      <w:r>
        <w:t xml:space="preserve"> </w:t>
      </w:r>
      <w:r>
        <w:tab/>
      </w:r>
      <w:r w:rsidRPr="00821CFC">
        <w:t xml:space="preserve">Jackie </w:t>
      </w:r>
      <w:proofErr w:type="spellStart"/>
      <w:r w:rsidRPr="00821CFC">
        <w:t>Pirihi</w:t>
      </w:r>
      <w:proofErr w:type="spellEnd"/>
    </w:p>
    <w:p w14:paraId="7FD0D134" w14:textId="6043AD2A" w:rsidR="00821CFC" w:rsidRPr="00821CFC" w:rsidRDefault="00821CFC" w:rsidP="00821CFC">
      <w:r w:rsidRPr="00821CFC">
        <w:t>Accountant:</w:t>
      </w:r>
      <w:r>
        <w:t xml:space="preserve"> </w:t>
      </w:r>
      <w:r>
        <w:tab/>
      </w:r>
      <w:r>
        <w:tab/>
      </w:r>
      <w:proofErr w:type="spellStart"/>
      <w:r w:rsidRPr="00821CFC">
        <w:t>Kiwitax</w:t>
      </w:r>
      <w:proofErr w:type="spellEnd"/>
      <w:r w:rsidRPr="00821CFC">
        <w:t>, Napier</w:t>
      </w:r>
    </w:p>
    <w:p w14:paraId="7B2C8C08" w14:textId="67141A1D" w:rsidR="00821CFC" w:rsidRPr="00821CFC" w:rsidRDefault="00821CFC" w:rsidP="00821CFC">
      <w:r w:rsidRPr="00821CFC">
        <w:t>Auditor:</w:t>
      </w:r>
      <w:r>
        <w:t xml:space="preserve"> </w:t>
      </w:r>
      <w:r>
        <w:tab/>
      </w:r>
      <w:r>
        <w:tab/>
      </w:r>
      <w:r w:rsidRPr="00821CFC">
        <w:t>Crombie &amp; Associates,</w:t>
      </w:r>
      <w:r>
        <w:t xml:space="preserve"> </w:t>
      </w:r>
      <w:r w:rsidRPr="00821CFC">
        <w:t>Lower Hutt</w:t>
      </w:r>
    </w:p>
    <w:p w14:paraId="1A299B39" w14:textId="31DFF084" w:rsidR="00821CFC" w:rsidRPr="00821CFC" w:rsidRDefault="00821CFC" w:rsidP="00821CFC">
      <w:pPr>
        <w:ind w:left="2160" w:hanging="2160"/>
      </w:pPr>
      <w:r w:rsidRPr="00821CFC">
        <w:t>Solicitors:</w:t>
      </w:r>
      <w:r>
        <w:t xml:space="preserve"> </w:t>
      </w:r>
      <w:r>
        <w:tab/>
      </w:r>
      <w:proofErr w:type="spellStart"/>
      <w:r w:rsidRPr="00821CFC">
        <w:t>Hockly</w:t>
      </w:r>
      <w:proofErr w:type="spellEnd"/>
      <w:r w:rsidRPr="00821CFC">
        <w:t xml:space="preserve"> Legal, Auckland</w:t>
      </w:r>
      <w:r>
        <w:t xml:space="preserve">, </w:t>
      </w:r>
      <w:proofErr w:type="spellStart"/>
      <w:r w:rsidRPr="00821CFC">
        <w:t>Whaia</w:t>
      </w:r>
      <w:proofErr w:type="spellEnd"/>
      <w:r w:rsidRPr="00821CFC">
        <w:t xml:space="preserve"> Legal, Wellington</w:t>
      </w:r>
      <w:r>
        <w:t xml:space="preserve">, </w:t>
      </w:r>
      <w:r w:rsidRPr="00821CFC">
        <w:t>Tompkins Wake, Rotorua</w:t>
      </w:r>
      <w:r>
        <w:t xml:space="preserve">, </w:t>
      </w:r>
      <w:r w:rsidRPr="00821CFC">
        <w:t>Brown &amp; Bates, Napier</w:t>
      </w:r>
      <w:r w:rsidR="0086121A" w:rsidRPr="00821CFC">
        <w:rPr>
          <w:noProof/>
        </w:rPr>
        <w:drawing>
          <wp:anchor distT="0" distB="0" distL="114300" distR="114300" simplePos="0" relativeHeight="251661312" behindDoc="1" locked="0" layoutInCell="1" allowOverlap="1" wp14:anchorId="00675D2D" wp14:editId="0CCB2125">
            <wp:simplePos x="0" y="0"/>
            <wp:positionH relativeFrom="column">
              <wp:posOffset>-933450</wp:posOffset>
            </wp:positionH>
            <wp:positionV relativeFrom="paragraph">
              <wp:posOffset>0</wp:posOffset>
            </wp:positionV>
            <wp:extent cx="7695949" cy="10883126"/>
            <wp:effectExtent l="0" t="0" r="635" b="0"/>
            <wp:wrapNone/>
            <wp:docPr id="1436169248" name="Picture 4" descr="A red and white stingr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69248" name="Picture 4" descr="A red and white stingray&#10;&#10;AI-generated content may be incorrect."/>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7699553" cy="10888223"/>
                    </a:xfrm>
                    <a:prstGeom prst="rect">
                      <a:avLst/>
                    </a:prstGeom>
                  </pic:spPr>
                </pic:pic>
              </a:graphicData>
            </a:graphic>
            <wp14:sizeRelH relativeFrom="margin">
              <wp14:pctWidth>0</wp14:pctWidth>
            </wp14:sizeRelH>
            <wp14:sizeRelV relativeFrom="margin">
              <wp14:pctHeight>0</wp14:pctHeight>
            </wp14:sizeRelV>
          </wp:anchor>
        </w:drawing>
      </w:r>
      <w:r w:rsidR="00082365" w:rsidRPr="00821CFC">
        <w:t xml:space="preserve"> </w:t>
      </w:r>
    </w:p>
    <w:p w14:paraId="05ADD6CC" w14:textId="77777777" w:rsidR="00821CFC" w:rsidRPr="00821CFC" w:rsidRDefault="00821CFC" w:rsidP="00821CFC"/>
    <w:p w14:paraId="02D39653" w14:textId="4BB27798" w:rsidR="00821CFC" w:rsidRDefault="00821CFC">
      <w:r>
        <w:br w:type="page"/>
      </w:r>
    </w:p>
    <w:p w14:paraId="50A63467" w14:textId="77777777" w:rsidR="0088561E" w:rsidRPr="0088561E" w:rsidRDefault="0088561E" w:rsidP="004538ED">
      <w:pPr>
        <w:pStyle w:val="Heading2"/>
      </w:pPr>
      <w:bookmarkStart w:id="2" w:name="_Toc214702237"/>
      <w:proofErr w:type="spellStart"/>
      <w:r w:rsidRPr="0088561E">
        <w:lastRenderedPageBreak/>
        <w:t>Rongomaiwahine</w:t>
      </w:r>
      <w:proofErr w:type="spellEnd"/>
      <w:r w:rsidRPr="0088561E">
        <w:t xml:space="preserve"> Iwi Trust Board Members &amp; Marae Affiliation</w:t>
      </w:r>
      <w:bookmarkEnd w:id="2"/>
    </w:p>
    <w:p w14:paraId="133530C8" w14:textId="77777777" w:rsidR="0088561E" w:rsidRPr="0088561E" w:rsidRDefault="0088561E" w:rsidP="004538ED">
      <w:pPr>
        <w:pStyle w:val="Heading3"/>
      </w:pPr>
      <w:bookmarkStart w:id="3" w:name="_Toc214702238"/>
      <w:r w:rsidRPr="0088561E">
        <w:t>Marae Trustee Members</w:t>
      </w:r>
      <w:bookmarkEnd w:id="3"/>
    </w:p>
    <w:tbl>
      <w:tblPr>
        <w:tblW w:w="9622"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5954"/>
        <w:gridCol w:w="3668"/>
      </w:tblGrid>
      <w:tr w:rsidR="0088561E" w:rsidRPr="0088561E" w14:paraId="41FB676B" w14:textId="77777777" w:rsidTr="004538ED">
        <w:trPr>
          <w:trHeight w:val="497"/>
          <w:tblHeader/>
        </w:trPr>
        <w:tc>
          <w:tcPr>
            <w:tcW w:w="0" w:type="auto"/>
            <w:shd w:val="clear" w:color="auto" w:fill="D9D9D9" w:themeFill="background1" w:themeFillShade="D9"/>
            <w:tcMar>
              <w:top w:w="150" w:type="dxa"/>
              <w:left w:w="0" w:type="dxa"/>
              <w:bottom w:w="150" w:type="dxa"/>
              <w:right w:w="240" w:type="dxa"/>
            </w:tcMar>
            <w:vAlign w:val="bottom"/>
            <w:hideMark/>
          </w:tcPr>
          <w:p w14:paraId="7A9D2891" w14:textId="77777777" w:rsidR="0088561E" w:rsidRPr="0088561E" w:rsidRDefault="0088561E" w:rsidP="0088561E">
            <w:r w:rsidRPr="0088561E">
              <w:t>Trustee Name</w:t>
            </w:r>
          </w:p>
        </w:tc>
        <w:tc>
          <w:tcPr>
            <w:tcW w:w="0" w:type="auto"/>
            <w:shd w:val="clear" w:color="auto" w:fill="D9D9D9" w:themeFill="background1" w:themeFillShade="D9"/>
            <w:tcMar>
              <w:top w:w="150" w:type="dxa"/>
              <w:left w:w="240" w:type="dxa"/>
              <w:bottom w:w="150" w:type="dxa"/>
              <w:right w:w="240" w:type="dxa"/>
            </w:tcMar>
            <w:vAlign w:val="bottom"/>
            <w:hideMark/>
          </w:tcPr>
          <w:p w14:paraId="7A2A408D" w14:textId="77777777" w:rsidR="0088561E" w:rsidRPr="0088561E" w:rsidRDefault="0088561E" w:rsidP="0088561E">
            <w:r w:rsidRPr="0088561E">
              <w:t>Marae</w:t>
            </w:r>
          </w:p>
        </w:tc>
      </w:tr>
      <w:tr w:rsidR="0088561E" w:rsidRPr="0088561E" w14:paraId="6329C4D7" w14:textId="77777777" w:rsidTr="004538ED">
        <w:trPr>
          <w:trHeight w:val="483"/>
        </w:trPr>
        <w:tc>
          <w:tcPr>
            <w:tcW w:w="0" w:type="auto"/>
            <w:tcMar>
              <w:top w:w="150" w:type="dxa"/>
              <w:left w:w="0" w:type="dxa"/>
              <w:bottom w:w="150" w:type="dxa"/>
              <w:right w:w="240" w:type="dxa"/>
            </w:tcMar>
            <w:vAlign w:val="bottom"/>
            <w:hideMark/>
          </w:tcPr>
          <w:p w14:paraId="64BB59FF" w14:textId="77777777" w:rsidR="0088561E" w:rsidRPr="0088561E" w:rsidRDefault="0088561E" w:rsidP="0088561E">
            <w:r w:rsidRPr="0088561E">
              <w:t>Sapphire Cooper (</w:t>
            </w:r>
            <w:proofErr w:type="spellStart"/>
            <w:r w:rsidRPr="0088561E">
              <w:t>Ahikaa</w:t>
            </w:r>
            <w:proofErr w:type="spellEnd"/>
            <w:r w:rsidRPr="0088561E">
              <w:t>)</w:t>
            </w:r>
          </w:p>
        </w:tc>
        <w:tc>
          <w:tcPr>
            <w:tcW w:w="0" w:type="auto"/>
            <w:tcMar>
              <w:top w:w="150" w:type="dxa"/>
              <w:left w:w="240" w:type="dxa"/>
              <w:bottom w:w="150" w:type="dxa"/>
              <w:right w:w="0" w:type="dxa"/>
            </w:tcMar>
            <w:vAlign w:val="bottom"/>
            <w:hideMark/>
          </w:tcPr>
          <w:p w14:paraId="02787B95" w14:textId="77777777" w:rsidR="0088561E" w:rsidRPr="0088561E" w:rsidRDefault="0088561E" w:rsidP="0088561E">
            <w:r w:rsidRPr="0088561E">
              <w:t>Apaapa-ā-Rangi</w:t>
            </w:r>
          </w:p>
        </w:tc>
      </w:tr>
      <w:tr w:rsidR="0088561E" w:rsidRPr="0088561E" w14:paraId="187DE374" w14:textId="77777777" w:rsidTr="004538ED">
        <w:trPr>
          <w:trHeight w:val="497"/>
        </w:trPr>
        <w:tc>
          <w:tcPr>
            <w:tcW w:w="0" w:type="auto"/>
            <w:tcMar>
              <w:top w:w="150" w:type="dxa"/>
              <w:left w:w="0" w:type="dxa"/>
              <w:bottom w:w="150" w:type="dxa"/>
              <w:right w:w="240" w:type="dxa"/>
            </w:tcMar>
            <w:vAlign w:val="bottom"/>
            <w:hideMark/>
          </w:tcPr>
          <w:p w14:paraId="54715169" w14:textId="77777777" w:rsidR="0088561E" w:rsidRPr="0088561E" w:rsidRDefault="0088561E" w:rsidP="0088561E">
            <w:r w:rsidRPr="0088561E">
              <w:t>Elizabeth Palmer</w:t>
            </w:r>
          </w:p>
        </w:tc>
        <w:tc>
          <w:tcPr>
            <w:tcW w:w="0" w:type="auto"/>
            <w:tcMar>
              <w:top w:w="150" w:type="dxa"/>
              <w:left w:w="240" w:type="dxa"/>
              <w:bottom w:w="150" w:type="dxa"/>
              <w:right w:w="0" w:type="dxa"/>
            </w:tcMar>
            <w:vAlign w:val="bottom"/>
            <w:hideMark/>
          </w:tcPr>
          <w:p w14:paraId="1A4D09CE" w14:textId="77777777" w:rsidR="0088561E" w:rsidRPr="0088561E" w:rsidRDefault="0088561E" w:rsidP="0088561E">
            <w:r w:rsidRPr="0088561E">
              <w:t>Apaapa-ā-Rangi</w:t>
            </w:r>
          </w:p>
        </w:tc>
      </w:tr>
      <w:tr w:rsidR="0088561E" w:rsidRPr="0088561E" w14:paraId="6E13B102" w14:textId="77777777" w:rsidTr="004538ED">
        <w:trPr>
          <w:trHeight w:val="483"/>
        </w:trPr>
        <w:tc>
          <w:tcPr>
            <w:tcW w:w="0" w:type="auto"/>
            <w:tcMar>
              <w:top w:w="150" w:type="dxa"/>
              <w:left w:w="0" w:type="dxa"/>
              <w:bottom w:w="150" w:type="dxa"/>
              <w:right w:w="240" w:type="dxa"/>
            </w:tcMar>
            <w:vAlign w:val="bottom"/>
            <w:hideMark/>
          </w:tcPr>
          <w:p w14:paraId="308B94C9" w14:textId="77777777" w:rsidR="0088561E" w:rsidRPr="0088561E" w:rsidRDefault="0088561E" w:rsidP="0088561E">
            <w:r w:rsidRPr="0088561E">
              <w:t xml:space="preserve">Darren </w:t>
            </w:r>
            <w:proofErr w:type="spellStart"/>
            <w:r w:rsidRPr="0088561E">
              <w:t>Te</w:t>
            </w:r>
            <w:proofErr w:type="spellEnd"/>
            <w:r w:rsidRPr="0088561E">
              <w:t xml:space="preserve"> Rangi (</w:t>
            </w:r>
            <w:proofErr w:type="spellStart"/>
            <w:r w:rsidRPr="0088561E">
              <w:t>Ahikaa</w:t>
            </w:r>
            <w:proofErr w:type="spellEnd"/>
            <w:r w:rsidRPr="0088561E">
              <w:t>)</w:t>
            </w:r>
          </w:p>
        </w:tc>
        <w:tc>
          <w:tcPr>
            <w:tcW w:w="0" w:type="auto"/>
            <w:tcMar>
              <w:top w:w="150" w:type="dxa"/>
              <w:left w:w="240" w:type="dxa"/>
              <w:bottom w:w="150" w:type="dxa"/>
              <w:right w:w="0" w:type="dxa"/>
            </w:tcMar>
            <w:vAlign w:val="bottom"/>
            <w:hideMark/>
          </w:tcPr>
          <w:p w14:paraId="75D7ACF9" w14:textId="77777777" w:rsidR="0088561E" w:rsidRPr="0088561E" w:rsidRDefault="0088561E" w:rsidP="0088561E">
            <w:proofErr w:type="spellStart"/>
            <w:r w:rsidRPr="0088561E">
              <w:t>Kaiuku</w:t>
            </w:r>
            <w:proofErr w:type="spellEnd"/>
          </w:p>
        </w:tc>
      </w:tr>
      <w:tr w:rsidR="0088561E" w:rsidRPr="0088561E" w14:paraId="2B4F5BBC" w14:textId="77777777" w:rsidTr="004538ED">
        <w:trPr>
          <w:trHeight w:val="497"/>
        </w:trPr>
        <w:tc>
          <w:tcPr>
            <w:tcW w:w="0" w:type="auto"/>
            <w:tcMar>
              <w:top w:w="150" w:type="dxa"/>
              <w:left w:w="0" w:type="dxa"/>
              <w:bottom w:w="150" w:type="dxa"/>
              <w:right w:w="240" w:type="dxa"/>
            </w:tcMar>
            <w:vAlign w:val="bottom"/>
            <w:hideMark/>
          </w:tcPr>
          <w:p w14:paraId="047A90F1" w14:textId="77777777" w:rsidR="0088561E" w:rsidRPr="0088561E" w:rsidRDefault="0088561E" w:rsidP="0088561E">
            <w:r w:rsidRPr="0088561E">
              <w:t>Glenn Webber</w:t>
            </w:r>
          </w:p>
        </w:tc>
        <w:tc>
          <w:tcPr>
            <w:tcW w:w="0" w:type="auto"/>
            <w:tcMar>
              <w:top w:w="150" w:type="dxa"/>
              <w:left w:w="240" w:type="dxa"/>
              <w:bottom w:w="150" w:type="dxa"/>
              <w:right w:w="0" w:type="dxa"/>
            </w:tcMar>
            <w:vAlign w:val="bottom"/>
            <w:hideMark/>
          </w:tcPr>
          <w:p w14:paraId="6D1720B9" w14:textId="77777777" w:rsidR="0088561E" w:rsidRPr="0088561E" w:rsidRDefault="0088561E" w:rsidP="0088561E">
            <w:proofErr w:type="spellStart"/>
            <w:r w:rsidRPr="0088561E">
              <w:t>Kaiuku</w:t>
            </w:r>
            <w:proofErr w:type="spellEnd"/>
          </w:p>
        </w:tc>
      </w:tr>
      <w:tr w:rsidR="0088561E" w:rsidRPr="0088561E" w14:paraId="0CE98CB9" w14:textId="77777777" w:rsidTr="004538ED">
        <w:trPr>
          <w:trHeight w:val="483"/>
        </w:trPr>
        <w:tc>
          <w:tcPr>
            <w:tcW w:w="0" w:type="auto"/>
            <w:tcMar>
              <w:top w:w="150" w:type="dxa"/>
              <w:left w:w="0" w:type="dxa"/>
              <w:bottom w:w="150" w:type="dxa"/>
              <w:right w:w="240" w:type="dxa"/>
            </w:tcMar>
            <w:vAlign w:val="bottom"/>
            <w:hideMark/>
          </w:tcPr>
          <w:p w14:paraId="1E7EFEF6" w14:textId="77777777" w:rsidR="0088561E" w:rsidRPr="0088561E" w:rsidRDefault="0088561E" w:rsidP="0088561E">
            <w:r w:rsidRPr="0088561E">
              <w:t>Jody Wahati Rarere (</w:t>
            </w:r>
            <w:proofErr w:type="spellStart"/>
            <w:r w:rsidRPr="0088561E">
              <w:t>Ahikaa</w:t>
            </w:r>
            <w:proofErr w:type="spellEnd"/>
            <w:r w:rsidRPr="0088561E">
              <w:t>)</w:t>
            </w:r>
          </w:p>
        </w:tc>
        <w:tc>
          <w:tcPr>
            <w:tcW w:w="0" w:type="auto"/>
            <w:tcMar>
              <w:top w:w="150" w:type="dxa"/>
              <w:left w:w="240" w:type="dxa"/>
              <w:bottom w:w="150" w:type="dxa"/>
              <w:right w:w="0" w:type="dxa"/>
            </w:tcMar>
            <w:vAlign w:val="bottom"/>
            <w:hideMark/>
          </w:tcPr>
          <w:p w14:paraId="0907D7AC" w14:textId="77777777" w:rsidR="0088561E" w:rsidRPr="0088561E" w:rsidRDefault="0088561E" w:rsidP="0088561E">
            <w:proofErr w:type="spellStart"/>
            <w:r w:rsidRPr="0088561E">
              <w:t>Mahanga</w:t>
            </w:r>
            <w:proofErr w:type="spellEnd"/>
          </w:p>
        </w:tc>
      </w:tr>
      <w:tr w:rsidR="0088561E" w:rsidRPr="0088561E" w14:paraId="7714DE2C" w14:textId="77777777" w:rsidTr="004538ED">
        <w:trPr>
          <w:trHeight w:val="497"/>
        </w:trPr>
        <w:tc>
          <w:tcPr>
            <w:tcW w:w="0" w:type="auto"/>
            <w:tcMar>
              <w:top w:w="150" w:type="dxa"/>
              <w:left w:w="0" w:type="dxa"/>
              <w:bottom w:w="150" w:type="dxa"/>
              <w:right w:w="240" w:type="dxa"/>
            </w:tcMar>
            <w:vAlign w:val="bottom"/>
            <w:hideMark/>
          </w:tcPr>
          <w:p w14:paraId="76C84143" w14:textId="77777777" w:rsidR="0088561E" w:rsidRPr="0088561E" w:rsidRDefault="0088561E" w:rsidP="0088561E">
            <w:proofErr w:type="spellStart"/>
            <w:r w:rsidRPr="0088561E">
              <w:t>Hinepua</w:t>
            </w:r>
            <w:proofErr w:type="spellEnd"/>
            <w:r w:rsidRPr="0088561E">
              <w:t xml:space="preserve"> Morrison</w:t>
            </w:r>
          </w:p>
        </w:tc>
        <w:tc>
          <w:tcPr>
            <w:tcW w:w="0" w:type="auto"/>
            <w:tcMar>
              <w:top w:w="150" w:type="dxa"/>
              <w:left w:w="240" w:type="dxa"/>
              <w:bottom w:w="150" w:type="dxa"/>
              <w:right w:w="0" w:type="dxa"/>
            </w:tcMar>
            <w:vAlign w:val="bottom"/>
            <w:hideMark/>
          </w:tcPr>
          <w:p w14:paraId="7B7CA00C" w14:textId="77777777" w:rsidR="0088561E" w:rsidRPr="0088561E" w:rsidRDefault="0088561E" w:rsidP="0088561E">
            <w:proofErr w:type="spellStart"/>
            <w:r w:rsidRPr="0088561E">
              <w:t>Mahanga</w:t>
            </w:r>
            <w:proofErr w:type="spellEnd"/>
          </w:p>
        </w:tc>
      </w:tr>
      <w:tr w:rsidR="0088561E" w:rsidRPr="0088561E" w14:paraId="32237D52" w14:textId="77777777" w:rsidTr="004538ED">
        <w:trPr>
          <w:trHeight w:val="497"/>
        </w:trPr>
        <w:tc>
          <w:tcPr>
            <w:tcW w:w="0" w:type="auto"/>
            <w:tcMar>
              <w:top w:w="150" w:type="dxa"/>
              <w:left w:w="0" w:type="dxa"/>
              <w:bottom w:w="150" w:type="dxa"/>
              <w:right w:w="240" w:type="dxa"/>
            </w:tcMar>
            <w:vAlign w:val="bottom"/>
            <w:hideMark/>
          </w:tcPr>
          <w:p w14:paraId="769C3AE3" w14:textId="77777777" w:rsidR="0088561E" w:rsidRPr="0088561E" w:rsidRDefault="0088561E" w:rsidP="0088561E">
            <w:proofErr w:type="spellStart"/>
            <w:r w:rsidRPr="0088561E">
              <w:t>Pikihoro</w:t>
            </w:r>
            <w:proofErr w:type="spellEnd"/>
            <w:r w:rsidRPr="0088561E">
              <w:t xml:space="preserve"> Tuhi (</w:t>
            </w:r>
            <w:proofErr w:type="spellStart"/>
            <w:r w:rsidRPr="0088561E">
              <w:t>Ahikaa</w:t>
            </w:r>
            <w:proofErr w:type="spellEnd"/>
            <w:r w:rsidRPr="0088561E">
              <w:t>)</w:t>
            </w:r>
          </w:p>
        </w:tc>
        <w:tc>
          <w:tcPr>
            <w:tcW w:w="0" w:type="auto"/>
            <w:tcMar>
              <w:top w:w="150" w:type="dxa"/>
              <w:left w:w="240" w:type="dxa"/>
              <w:bottom w:w="150" w:type="dxa"/>
              <w:right w:w="0" w:type="dxa"/>
            </w:tcMar>
            <w:vAlign w:val="bottom"/>
            <w:hideMark/>
          </w:tcPr>
          <w:p w14:paraId="628C0EDF" w14:textId="77777777" w:rsidR="0088561E" w:rsidRPr="0088561E" w:rsidRDefault="0088561E" w:rsidP="0088561E">
            <w:proofErr w:type="spellStart"/>
            <w:r w:rsidRPr="0088561E">
              <w:t>Ruawharo</w:t>
            </w:r>
            <w:proofErr w:type="spellEnd"/>
          </w:p>
        </w:tc>
      </w:tr>
      <w:tr w:rsidR="0088561E" w:rsidRPr="0088561E" w14:paraId="76A66F21" w14:textId="77777777" w:rsidTr="004538ED">
        <w:trPr>
          <w:trHeight w:val="483"/>
        </w:trPr>
        <w:tc>
          <w:tcPr>
            <w:tcW w:w="0" w:type="auto"/>
            <w:tcMar>
              <w:top w:w="150" w:type="dxa"/>
              <w:left w:w="0" w:type="dxa"/>
              <w:bottom w:w="150" w:type="dxa"/>
              <w:right w:w="240" w:type="dxa"/>
            </w:tcMar>
            <w:vAlign w:val="bottom"/>
            <w:hideMark/>
          </w:tcPr>
          <w:p w14:paraId="168B7361" w14:textId="77777777" w:rsidR="0088561E" w:rsidRPr="0088561E" w:rsidRDefault="0088561E" w:rsidP="0088561E">
            <w:r w:rsidRPr="0088561E">
              <w:t xml:space="preserve">Huia </w:t>
            </w:r>
            <w:proofErr w:type="spellStart"/>
            <w:r w:rsidRPr="0088561E">
              <w:t>Dyjiak</w:t>
            </w:r>
            <w:proofErr w:type="spellEnd"/>
            <w:r w:rsidRPr="0088561E">
              <w:t xml:space="preserve"> (</w:t>
            </w:r>
            <w:proofErr w:type="spellStart"/>
            <w:r w:rsidRPr="0088561E">
              <w:t>Ahikaa</w:t>
            </w:r>
            <w:proofErr w:type="spellEnd"/>
            <w:r w:rsidRPr="0088561E">
              <w:t>)</w:t>
            </w:r>
          </w:p>
        </w:tc>
        <w:tc>
          <w:tcPr>
            <w:tcW w:w="0" w:type="auto"/>
            <w:tcMar>
              <w:top w:w="150" w:type="dxa"/>
              <w:left w:w="240" w:type="dxa"/>
              <w:bottom w:w="150" w:type="dxa"/>
              <w:right w:w="0" w:type="dxa"/>
            </w:tcMar>
            <w:vAlign w:val="bottom"/>
            <w:hideMark/>
          </w:tcPr>
          <w:p w14:paraId="7ED619BD" w14:textId="77777777" w:rsidR="0088561E" w:rsidRPr="0088561E" w:rsidRDefault="0088561E" w:rsidP="0088561E">
            <w:proofErr w:type="spellStart"/>
            <w:r w:rsidRPr="0088561E">
              <w:t>Ruawharo</w:t>
            </w:r>
            <w:proofErr w:type="spellEnd"/>
          </w:p>
        </w:tc>
      </w:tr>
      <w:tr w:rsidR="0088561E" w:rsidRPr="0088561E" w14:paraId="5FA62E74" w14:textId="77777777" w:rsidTr="004538ED">
        <w:trPr>
          <w:trHeight w:val="497"/>
        </w:trPr>
        <w:tc>
          <w:tcPr>
            <w:tcW w:w="0" w:type="auto"/>
            <w:tcMar>
              <w:top w:w="150" w:type="dxa"/>
              <w:left w:w="0" w:type="dxa"/>
              <w:bottom w:w="150" w:type="dxa"/>
              <w:right w:w="240" w:type="dxa"/>
            </w:tcMar>
            <w:vAlign w:val="bottom"/>
            <w:hideMark/>
          </w:tcPr>
          <w:p w14:paraId="6A022E69" w14:textId="3D8E2867" w:rsidR="0088561E" w:rsidRPr="0088561E" w:rsidRDefault="0088561E" w:rsidP="0088561E">
            <w:r w:rsidRPr="0088561E">
              <w:t xml:space="preserve">Fiona </w:t>
            </w:r>
            <w:r w:rsidR="002C6121">
              <w:t>Wairau</w:t>
            </w:r>
            <w:r w:rsidRPr="0088561E">
              <w:t xml:space="preserve"> (</w:t>
            </w:r>
            <w:proofErr w:type="spellStart"/>
            <w:r w:rsidRPr="0088561E">
              <w:t>Ahikaa</w:t>
            </w:r>
            <w:proofErr w:type="spellEnd"/>
            <w:r w:rsidRPr="0088561E">
              <w:t>)</w:t>
            </w:r>
          </w:p>
        </w:tc>
        <w:tc>
          <w:tcPr>
            <w:tcW w:w="0" w:type="auto"/>
            <w:tcMar>
              <w:top w:w="150" w:type="dxa"/>
              <w:left w:w="240" w:type="dxa"/>
              <w:bottom w:w="150" w:type="dxa"/>
              <w:right w:w="0" w:type="dxa"/>
            </w:tcMar>
            <w:vAlign w:val="bottom"/>
            <w:hideMark/>
          </w:tcPr>
          <w:p w14:paraId="70BB61DC" w14:textId="77777777" w:rsidR="0088561E" w:rsidRPr="0088561E" w:rsidRDefault="0088561E" w:rsidP="0088561E">
            <w:proofErr w:type="spellStart"/>
            <w:r w:rsidRPr="0088561E">
              <w:t>Te</w:t>
            </w:r>
            <w:proofErr w:type="spellEnd"/>
            <w:r w:rsidRPr="0088561E">
              <w:t xml:space="preserve"> </w:t>
            </w:r>
            <w:proofErr w:type="spellStart"/>
            <w:r w:rsidRPr="0088561E">
              <w:t>Ātihau</w:t>
            </w:r>
            <w:proofErr w:type="spellEnd"/>
          </w:p>
        </w:tc>
      </w:tr>
      <w:tr w:rsidR="0088561E" w:rsidRPr="0088561E" w14:paraId="0E5236F7" w14:textId="77777777" w:rsidTr="004538ED">
        <w:trPr>
          <w:trHeight w:val="483"/>
        </w:trPr>
        <w:tc>
          <w:tcPr>
            <w:tcW w:w="0" w:type="auto"/>
            <w:tcMar>
              <w:top w:w="150" w:type="dxa"/>
              <w:left w:w="0" w:type="dxa"/>
              <w:bottom w:w="150" w:type="dxa"/>
              <w:right w:w="240" w:type="dxa"/>
            </w:tcMar>
            <w:vAlign w:val="bottom"/>
            <w:hideMark/>
          </w:tcPr>
          <w:p w14:paraId="055109F6" w14:textId="77777777" w:rsidR="0088561E" w:rsidRPr="0088561E" w:rsidRDefault="0088561E" w:rsidP="0088561E">
            <w:r w:rsidRPr="0088561E">
              <w:t xml:space="preserve">Paul </w:t>
            </w:r>
            <w:proofErr w:type="spellStart"/>
            <w:r w:rsidRPr="0088561E">
              <w:t>Râtapu</w:t>
            </w:r>
            <w:proofErr w:type="spellEnd"/>
          </w:p>
        </w:tc>
        <w:tc>
          <w:tcPr>
            <w:tcW w:w="0" w:type="auto"/>
            <w:tcMar>
              <w:top w:w="150" w:type="dxa"/>
              <w:left w:w="240" w:type="dxa"/>
              <w:bottom w:w="150" w:type="dxa"/>
              <w:right w:w="0" w:type="dxa"/>
            </w:tcMar>
            <w:vAlign w:val="bottom"/>
            <w:hideMark/>
          </w:tcPr>
          <w:p w14:paraId="10F7D279" w14:textId="77777777" w:rsidR="0088561E" w:rsidRPr="0088561E" w:rsidRDefault="0088561E" w:rsidP="0088561E">
            <w:proofErr w:type="spellStart"/>
            <w:r w:rsidRPr="0088561E">
              <w:t>Te</w:t>
            </w:r>
            <w:proofErr w:type="spellEnd"/>
            <w:r w:rsidRPr="0088561E">
              <w:t xml:space="preserve"> </w:t>
            </w:r>
            <w:proofErr w:type="spellStart"/>
            <w:r w:rsidRPr="0088561E">
              <w:t>Ātihau</w:t>
            </w:r>
            <w:proofErr w:type="spellEnd"/>
          </w:p>
        </w:tc>
      </w:tr>
      <w:tr w:rsidR="0088561E" w:rsidRPr="0088561E" w14:paraId="6E6DF070" w14:textId="77777777" w:rsidTr="004538ED">
        <w:trPr>
          <w:trHeight w:val="497"/>
        </w:trPr>
        <w:tc>
          <w:tcPr>
            <w:tcW w:w="0" w:type="auto"/>
            <w:tcMar>
              <w:top w:w="150" w:type="dxa"/>
              <w:left w:w="0" w:type="dxa"/>
              <w:bottom w:w="150" w:type="dxa"/>
              <w:right w:w="240" w:type="dxa"/>
            </w:tcMar>
            <w:vAlign w:val="bottom"/>
            <w:hideMark/>
          </w:tcPr>
          <w:p w14:paraId="03134E64" w14:textId="77777777" w:rsidR="0088561E" w:rsidRPr="0088561E" w:rsidRDefault="0088561E" w:rsidP="0088561E">
            <w:proofErr w:type="spellStart"/>
            <w:r w:rsidRPr="0088561E">
              <w:t>Kenross</w:t>
            </w:r>
            <w:proofErr w:type="spellEnd"/>
            <w:r w:rsidRPr="0088561E">
              <w:t xml:space="preserve"> Campbell (</w:t>
            </w:r>
            <w:proofErr w:type="spellStart"/>
            <w:r w:rsidRPr="0088561E">
              <w:t>Ahikaa</w:t>
            </w:r>
            <w:proofErr w:type="spellEnd"/>
            <w:r w:rsidRPr="0088561E">
              <w:t>)</w:t>
            </w:r>
          </w:p>
        </w:tc>
        <w:tc>
          <w:tcPr>
            <w:tcW w:w="0" w:type="auto"/>
            <w:tcMar>
              <w:top w:w="150" w:type="dxa"/>
              <w:left w:w="240" w:type="dxa"/>
              <w:bottom w:w="150" w:type="dxa"/>
              <w:right w:w="0" w:type="dxa"/>
            </w:tcMar>
            <w:vAlign w:val="bottom"/>
            <w:hideMark/>
          </w:tcPr>
          <w:p w14:paraId="16B30FB2" w14:textId="77777777" w:rsidR="0088561E" w:rsidRPr="0088561E" w:rsidRDefault="0088561E" w:rsidP="0088561E">
            <w:proofErr w:type="spellStart"/>
            <w:r w:rsidRPr="0088561E">
              <w:t>Tuahuru</w:t>
            </w:r>
            <w:proofErr w:type="spellEnd"/>
          </w:p>
        </w:tc>
      </w:tr>
      <w:tr w:rsidR="0088561E" w:rsidRPr="0088561E" w14:paraId="49F1F705" w14:textId="77777777" w:rsidTr="004538ED">
        <w:trPr>
          <w:trHeight w:val="497"/>
        </w:trPr>
        <w:tc>
          <w:tcPr>
            <w:tcW w:w="0" w:type="auto"/>
            <w:tcMar>
              <w:top w:w="150" w:type="dxa"/>
              <w:left w:w="0" w:type="dxa"/>
              <w:bottom w:w="150" w:type="dxa"/>
              <w:right w:w="240" w:type="dxa"/>
            </w:tcMar>
            <w:vAlign w:val="bottom"/>
            <w:hideMark/>
          </w:tcPr>
          <w:p w14:paraId="0AADE231" w14:textId="0502BF9C" w:rsidR="0088561E" w:rsidRPr="0088561E" w:rsidRDefault="004538ED" w:rsidP="0088561E">
            <w:r>
              <w:t>Stephanie Tibble</w:t>
            </w:r>
          </w:p>
        </w:tc>
        <w:tc>
          <w:tcPr>
            <w:tcW w:w="0" w:type="auto"/>
            <w:tcMar>
              <w:top w:w="150" w:type="dxa"/>
              <w:left w:w="240" w:type="dxa"/>
              <w:bottom w:w="150" w:type="dxa"/>
              <w:right w:w="0" w:type="dxa"/>
            </w:tcMar>
            <w:vAlign w:val="bottom"/>
            <w:hideMark/>
          </w:tcPr>
          <w:p w14:paraId="4BCB1BAF" w14:textId="77777777" w:rsidR="0088561E" w:rsidRPr="0088561E" w:rsidRDefault="0088561E" w:rsidP="0088561E">
            <w:proofErr w:type="spellStart"/>
            <w:r w:rsidRPr="0088561E">
              <w:t>Tuahuru</w:t>
            </w:r>
            <w:proofErr w:type="spellEnd"/>
          </w:p>
        </w:tc>
      </w:tr>
      <w:tr w:rsidR="0088561E" w:rsidRPr="0088561E" w14:paraId="61219F6E" w14:textId="77777777" w:rsidTr="004538ED">
        <w:trPr>
          <w:trHeight w:val="483"/>
        </w:trPr>
        <w:tc>
          <w:tcPr>
            <w:tcW w:w="0" w:type="auto"/>
            <w:tcMar>
              <w:top w:w="150" w:type="dxa"/>
              <w:left w:w="0" w:type="dxa"/>
              <w:bottom w:w="150" w:type="dxa"/>
              <w:right w:w="240" w:type="dxa"/>
            </w:tcMar>
            <w:vAlign w:val="bottom"/>
            <w:hideMark/>
          </w:tcPr>
          <w:p w14:paraId="629E4A9D" w14:textId="77777777" w:rsidR="0088561E" w:rsidRPr="0088561E" w:rsidRDefault="0088561E" w:rsidP="0088561E">
            <w:r w:rsidRPr="0088561E">
              <w:t>Position Vacant</w:t>
            </w:r>
          </w:p>
        </w:tc>
        <w:tc>
          <w:tcPr>
            <w:tcW w:w="0" w:type="auto"/>
            <w:tcMar>
              <w:top w:w="150" w:type="dxa"/>
              <w:left w:w="240" w:type="dxa"/>
              <w:bottom w:w="150" w:type="dxa"/>
              <w:right w:w="0" w:type="dxa"/>
            </w:tcMar>
            <w:vAlign w:val="bottom"/>
            <w:hideMark/>
          </w:tcPr>
          <w:p w14:paraId="6DA15408" w14:textId="77777777" w:rsidR="0088561E" w:rsidRPr="0088561E" w:rsidRDefault="0088561E" w:rsidP="0088561E">
            <w:proofErr w:type="spellStart"/>
            <w:r w:rsidRPr="0088561E">
              <w:t>Te</w:t>
            </w:r>
            <w:proofErr w:type="spellEnd"/>
            <w:r w:rsidRPr="0088561E">
              <w:t xml:space="preserve"> </w:t>
            </w:r>
            <w:proofErr w:type="spellStart"/>
            <w:r w:rsidRPr="0088561E">
              <w:t>Rakato</w:t>
            </w:r>
            <w:proofErr w:type="spellEnd"/>
          </w:p>
        </w:tc>
      </w:tr>
    </w:tbl>
    <w:p w14:paraId="3E9ACCC6" w14:textId="5F350B10" w:rsidR="004538ED" w:rsidRDefault="004538ED" w:rsidP="0088561E">
      <w:pPr>
        <w:rPr>
          <w:b/>
          <w:bCs/>
        </w:rPr>
      </w:pPr>
    </w:p>
    <w:p w14:paraId="10F65FA0" w14:textId="77777777" w:rsidR="004538ED" w:rsidRDefault="004538ED">
      <w:pPr>
        <w:rPr>
          <w:b/>
          <w:bCs/>
        </w:rPr>
      </w:pPr>
      <w:r>
        <w:rPr>
          <w:b/>
          <w:bCs/>
        </w:rPr>
        <w:br w:type="page"/>
      </w:r>
    </w:p>
    <w:p w14:paraId="70D6101D" w14:textId="77777777" w:rsidR="004538ED" w:rsidRDefault="004538ED" w:rsidP="0088561E">
      <w:pPr>
        <w:rPr>
          <w:b/>
          <w:bCs/>
        </w:rPr>
      </w:pPr>
    </w:p>
    <w:p w14:paraId="61EE27C9" w14:textId="7D4AEE09" w:rsidR="0088561E" w:rsidRPr="0088561E" w:rsidRDefault="0088561E" w:rsidP="004538ED">
      <w:pPr>
        <w:pStyle w:val="Heading3"/>
      </w:pPr>
      <w:bookmarkStart w:id="4" w:name="_Toc214702239"/>
      <w:r w:rsidRPr="0088561E">
        <w:t>Non-Trustee Board Members</w:t>
      </w:r>
      <w:bookmarkEnd w:id="4"/>
    </w:p>
    <w:tbl>
      <w:tblPr>
        <w:tblW w:w="8445" w:type="dxa"/>
        <w:tblCellMar>
          <w:top w:w="15" w:type="dxa"/>
          <w:left w:w="15" w:type="dxa"/>
          <w:bottom w:w="15" w:type="dxa"/>
          <w:right w:w="15" w:type="dxa"/>
        </w:tblCellMar>
        <w:tblLook w:val="04A0" w:firstRow="1" w:lastRow="0" w:firstColumn="1" w:lastColumn="0" w:noHBand="0" w:noVBand="1"/>
      </w:tblPr>
      <w:tblGrid>
        <w:gridCol w:w="6096"/>
        <w:gridCol w:w="2349"/>
      </w:tblGrid>
      <w:tr w:rsidR="0088561E" w:rsidRPr="0088561E" w14:paraId="63C98828" w14:textId="77777777" w:rsidTr="004538ED">
        <w:trPr>
          <w:tblHeader/>
        </w:trPr>
        <w:tc>
          <w:tcPr>
            <w:tcW w:w="6096" w:type="dxa"/>
            <w:tcBorders>
              <w:top w:val="nil"/>
            </w:tcBorders>
            <w:shd w:val="clear" w:color="auto" w:fill="D9D9D9" w:themeFill="background1" w:themeFillShade="D9"/>
            <w:tcMar>
              <w:top w:w="150" w:type="dxa"/>
              <w:left w:w="0" w:type="dxa"/>
              <w:bottom w:w="150" w:type="dxa"/>
              <w:right w:w="240" w:type="dxa"/>
            </w:tcMar>
            <w:vAlign w:val="center"/>
            <w:hideMark/>
          </w:tcPr>
          <w:p w14:paraId="08792848" w14:textId="77777777" w:rsidR="0088561E" w:rsidRPr="0088561E" w:rsidRDefault="0088561E" w:rsidP="0088561E">
            <w:r w:rsidRPr="0088561E">
              <w:t>Board Member Name</w:t>
            </w:r>
          </w:p>
        </w:tc>
        <w:tc>
          <w:tcPr>
            <w:tcW w:w="2349" w:type="dxa"/>
            <w:tcBorders>
              <w:top w:val="nil"/>
            </w:tcBorders>
            <w:shd w:val="clear" w:color="auto" w:fill="D9D9D9" w:themeFill="background1" w:themeFillShade="D9"/>
            <w:tcMar>
              <w:top w:w="150" w:type="dxa"/>
              <w:left w:w="240" w:type="dxa"/>
              <w:bottom w:w="150" w:type="dxa"/>
              <w:right w:w="240" w:type="dxa"/>
            </w:tcMar>
            <w:vAlign w:val="center"/>
            <w:hideMark/>
          </w:tcPr>
          <w:p w14:paraId="2B0B18F7" w14:textId="77777777" w:rsidR="0088561E" w:rsidRPr="0088561E" w:rsidRDefault="0088561E" w:rsidP="0088561E">
            <w:r w:rsidRPr="0088561E">
              <w:t>Representing</w:t>
            </w:r>
          </w:p>
        </w:tc>
      </w:tr>
      <w:tr w:rsidR="0088561E" w:rsidRPr="0088561E" w14:paraId="16F12329" w14:textId="77777777" w:rsidTr="004538ED">
        <w:tc>
          <w:tcPr>
            <w:tcW w:w="6096" w:type="dxa"/>
            <w:tcMar>
              <w:top w:w="150" w:type="dxa"/>
              <w:left w:w="0" w:type="dxa"/>
              <w:bottom w:w="150" w:type="dxa"/>
              <w:right w:w="240" w:type="dxa"/>
            </w:tcMar>
            <w:vAlign w:val="center"/>
            <w:hideMark/>
          </w:tcPr>
          <w:p w14:paraId="45794ADC" w14:textId="77777777" w:rsidR="0088561E" w:rsidRPr="0088561E" w:rsidRDefault="0088561E" w:rsidP="0088561E">
            <w:r w:rsidRPr="0088561E">
              <w:t>Leon Symes</w:t>
            </w:r>
          </w:p>
        </w:tc>
        <w:tc>
          <w:tcPr>
            <w:tcW w:w="2349" w:type="dxa"/>
            <w:tcMar>
              <w:top w:w="150" w:type="dxa"/>
              <w:left w:w="240" w:type="dxa"/>
              <w:bottom w:w="150" w:type="dxa"/>
              <w:right w:w="0" w:type="dxa"/>
            </w:tcMar>
            <w:vAlign w:val="center"/>
            <w:hideMark/>
          </w:tcPr>
          <w:p w14:paraId="5939BC14" w14:textId="77777777" w:rsidR="0088561E" w:rsidRPr="0088561E" w:rsidRDefault="0088561E" w:rsidP="0088561E">
            <w:proofErr w:type="spellStart"/>
            <w:r w:rsidRPr="0088561E">
              <w:t>Tātau</w:t>
            </w:r>
            <w:proofErr w:type="spellEnd"/>
            <w:r w:rsidRPr="0088561E">
              <w:t xml:space="preserve"> </w:t>
            </w:r>
            <w:proofErr w:type="spellStart"/>
            <w:r w:rsidRPr="0088561E">
              <w:t>Tātau</w:t>
            </w:r>
            <w:proofErr w:type="spellEnd"/>
            <w:r w:rsidRPr="0088561E">
              <w:t xml:space="preserve"> o </w:t>
            </w:r>
            <w:proofErr w:type="spellStart"/>
            <w:r w:rsidRPr="0088561E">
              <w:t>Te</w:t>
            </w:r>
            <w:proofErr w:type="spellEnd"/>
            <w:r w:rsidRPr="0088561E">
              <w:t xml:space="preserve"> Wairoa</w:t>
            </w:r>
          </w:p>
        </w:tc>
      </w:tr>
      <w:tr w:rsidR="0088561E" w:rsidRPr="0088561E" w14:paraId="3160E7DB" w14:textId="77777777" w:rsidTr="004538ED">
        <w:tc>
          <w:tcPr>
            <w:tcW w:w="6096" w:type="dxa"/>
            <w:tcMar>
              <w:top w:w="150" w:type="dxa"/>
              <w:left w:w="0" w:type="dxa"/>
              <w:bottom w:w="150" w:type="dxa"/>
              <w:right w:w="240" w:type="dxa"/>
            </w:tcMar>
            <w:vAlign w:val="center"/>
            <w:hideMark/>
          </w:tcPr>
          <w:p w14:paraId="3BDE91D8" w14:textId="2214B7EB" w:rsidR="0088561E" w:rsidRPr="0088561E" w:rsidRDefault="004538ED" w:rsidP="0088561E">
            <w:r>
              <w:t>Bernadette Hamlin</w:t>
            </w:r>
          </w:p>
        </w:tc>
        <w:tc>
          <w:tcPr>
            <w:tcW w:w="2349" w:type="dxa"/>
            <w:tcMar>
              <w:top w:w="150" w:type="dxa"/>
              <w:left w:w="240" w:type="dxa"/>
              <w:bottom w:w="150" w:type="dxa"/>
              <w:right w:w="0" w:type="dxa"/>
            </w:tcMar>
            <w:vAlign w:val="center"/>
            <w:hideMark/>
          </w:tcPr>
          <w:p w14:paraId="648DDCEA" w14:textId="77777777" w:rsidR="0088561E" w:rsidRPr="0088561E" w:rsidRDefault="0088561E" w:rsidP="0088561E">
            <w:proofErr w:type="spellStart"/>
            <w:r w:rsidRPr="0088561E">
              <w:t>Pakeke</w:t>
            </w:r>
            <w:proofErr w:type="spellEnd"/>
          </w:p>
        </w:tc>
      </w:tr>
      <w:tr w:rsidR="0088561E" w:rsidRPr="0088561E" w14:paraId="227113DE" w14:textId="77777777" w:rsidTr="004538ED">
        <w:tc>
          <w:tcPr>
            <w:tcW w:w="6096" w:type="dxa"/>
            <w:tcMar>
              <w:top w:w="150" w:type="dxa"/>
              <w:left w:w="0" w:type="dxa"/>
              <w:bottom w:w="150" w:type="dxa"/>
              <w:right w:w="240" w:type="dxa"/>
            </w:tcMar>
            <w:vAlign w:val="center"/>
            <w:hideMark/>
          </w:tcPr>
          <w:p w14:paraId="6DAB9725" w14:textId="77777777" w:rsidR="0088561E" w:rsidRPr="0088561E" w:rsidRDefault="0088561E" w:rsidP="0088561E">
            <w:r w:rsidRPr="0088561E">
              <w:t>John Andrew</w:t>
            </w:r>
          </w:p>
        </w:tc>
        <w:tc>
          <w:tcPr>
            <w:tcW w:w="2349" w:type="dxa"/>
            <w:tcMar>
              <w:top w:w="150" w:type="dxa"/>
              <w:left w:w="240" w:type="dxa"/>
              <w:bottom w:w="150" w:type="dxa"/>
              <w:right w:w="0" w:type="dxa"/>
            </w:tcMar>
            <w:vAlign w:val="center"/>
            <w:hideMark/>
          </w:tcPr>
          <w:p w14:paraId="6AD2576E" w14:textId="77777777" w:rsidR="0088561E" w:rsidRPr="0088561E" w:rsidRDefault="0088561E" w:rsidP="0088561E">
            <w:proofErr w:type="spellStart"/>
            <w:r w:rsidRPr="0088561E">
              <w:t>Pakeke</w:t>
            </w:r>
            <w:proofErr w:type="spellEnd"/>
          </w:p>
        </w:tc>
      </w:tr>
    </w:tbl>
    <w:p w14:paraId="2F50EC27" w14:textId="0C846EC3" w:rsidR="004538ED" w:rsidRDefault="004538ED"/>
    <w:p w14:paraId="4F99D44E" w14:textId="77777777" w:rsidR="004538ED" w:rsidRDefault="004538ED">
      <w:r>
        <w:br w:type="page"/>
      </w:r>
    </w:p>
    <w:p w14:paraId="31AE33AD" w14:textId="49349F64" w:rsidR="00082365" w:rsidRPr="00E820A3" w:rsidRDefault="00082365" w:rsidP="00082365">
      <w:pPr>
        <w:pStyle w:val="Heading2"/>
      </w:pPr>
      <w:bookmarkStart w:id="5" w:name="_Toc214702240"/>
      <w:r w:rsidRPr="00E820A3">
        <w:lastRenderedPageBreak/>
        <w:t xml:space="preserve">He Kōrero a </w:t>
      </w:r>
      <w:proofErr w:type="spellStart"/>
      <w:r w:rsidRPr="00E820A3">
        <w:t>te</w:t>
      </w:r>
      <w:proofErr w:type="spellEnd"/>
      <w:r w:rsidRPr="00E820A3">
        <w:t xml:space="preserve"> </w:t>
      </w:r>
      <w:proofErr w:type="spellStart"/>
      <w:r w:rsidRPr="00E820A3">
        <w:t>Tiamana</w:t>
      </w:r>
      <w:proofErr w:type="spellEnd"/>
      <w:r w:rsidRPr="00E820A3">
        <w:t xml:space="preserve"> | Chair's Message</w:t>
      </w:r>
      <w:bookmarkEnd w:id="5"/>
    </w:p>
    <w:p w14:paraId="61892B5C" w14:textId="1998E592" w:rsidR="00C31D1C" w:rsidRDefault="00C31D1C" w:rsidP="00175C1D">
      <w:pPr>
        <w:spacing w:line="259" w:lineRule="auto"/>
      </w:pPr>
      <w:r>
        <w:t>Paul Ratapu, Chairper</w:t>
      </w:r>
      <w:r w:rsidR="004218A8">
        <w:t>s</w:t>
      </w:r>
      <w:r>
        <w:t>on</w:t>
      </w:r>
    </w:p>
    <w:p w14:paraId="1A1E60B2" w14:textId="4F5095A1" w:rsidR="00175C1D" w:rsidRPr="00175C1D" w:rsidRDefault="00175C1D" w:rsidP="00175C1D">
      <w:pPr>
        <w:spacing w:line="259" w:lineRule="auto"/>
      </w:pPr>
      <w:proofErr w:type="spellStart"/>
      <w:r w:rsidRPr="00175C1D">
        <w:t>Tēnā</w:t>
      </w:r>
      <w:proofErr w:type="spellEnd"/>
      <w:r w:rsidRPr="00175C1D">
        <w:t xml:space="preserve"> koutou </w:t>
      </w:r>
      <w:proofErr w:type="spellStart"/>
      <w:r w:rsidRPr="00175C1D">
        <w:t>katoa</w:t>
      </w:r>
      <w:proofErr w:type="spellEnd"/>
      <w:r w:rsidRPr="00175C1D">
        <w:t>,</w:t>
      </w:r>
    </w:p>
    <w:p w14:paraId="1A7058A5" w14:textId="77777777" w:rsidR="00175C1D" w:rsidRPr="00175C1D" w:rsidRDefault="00175C1D" w:rsidP="00175C1D">
      <w:pPr>
        <w:spacing w:line="259" w:lineRule="auto"/>
      </w:pPr>
      <w:r w:rsidRPr="00175C1D">
        <w:t xml:space="preserve">As we gather to reflect on the year past, we first bow our heads and remember those who have journeyed on. We feel the profound absence of cherished members of our </w:t>
      </w:r>
      <w:proofErr w:type="spellStart"/>
      <w:r w:rsidRPr="00175C1D">
        <w:t>Rongomaiwahine</w:t>
      </w:r>
      <w:proofErr w:type="spellEnd"/>
      <w:r w:rsidRPr="00175C1D">
        <w:t xml:space="preserve"> whānau who have passed away this year. Our hearts and aroha remain with their families. The contributions of these loved ones are woven into the fabric of our iwi, and their memories inspire us to continue building a community they would be proud of.</w:t>
      </w:r>
    </w:p>
    <w:p w14:paraId="63056C75" w14:textId="77777777" w:rsidR="00175C1D" w:rsidRPr="00175C1D" w:rsidRDefault="00175C1D" w:rsidP="00175C1D">
      <w:pPr>
        <w:spacing w:line="259" w:lineRule="auto"/>
      </w:pPr>
      <w:r w:rsidRPr="00175C1D">
        <w:t>This year has been one of continued governance stewardship. We farewelled former trustee Pania Tyson-Nathan and welcomed new trustee Stephanie Tibble. Our board continues to strengthen with diverse capabilities.</w:t>
      </w:r>
    </w:p>
    <w:p w14:paraId="621EBF62" w14:textId="09F40416" w:rsidR="00175C1D" w:rsidRPr="00175C1D" w:rsidRDefault="00175C1D" w:rsidP="00175C1D">
      <w:pPr>
        <w:spacing w:line="259" w:lineRule="auto"/>
      </w:pPr>
      <w:r w:rsidRPr="00175C1D">
        <w:rPr>
          <w:b/>
          <w:bCs/>
        </w:rPr>
        <w:t>Governance &amp; Strategy</w:t>
      </w:r>
      <w:r w:rsidRPr="00175C1D">
        <w:br/>
      </w:r>
      <w:r w:rsidR="00410D15" w:rsidRPr="00410D15">
        <w:t>We have taken the initial step of convening a committee to discuss the scope and process for a future constitutional review</w:t>
      </w:r>
      <w:r w:rsidRPr="00175C1D">
        <w:t xml:space="preserve">, ensuring our structures serve our iwi's future needs. This includes planning for new entities and streamlining operational processes. </w:t>
      </w:r>
      <w:r w:rsidR="002242E4" w:rsidRPr="002242E4">
        <w:t>We were in the final stages of progressing the handover of our YMCA asset, with completion expected shortly after the end of the financial year</w:t>
      </w:r>
      <w:r w:rsidR="00DF219F" w:rsidRPr="00DF219F">
        <w:t>.</w:t>
      </w:r>
    </w:p>
    <w:p w14:paraId="50A10E9B" w14:textId="21E0D18E" w:rsidR="00175C1D" w:rsidRPr="00175C1D" w:rsidRDefault="00175C1D" w:rsidP="00175C1D">
      <w:pPr>
        <w:spacing w:line="259" w:lineRule="auto"/>
      </w:pPr>
      <w:r w:rsidRPr="00175C1D">
        <w:rPr>
          <w:b/>
          <w:bCs/>
        </w:rPr>
        <w:t>Treaty Settlement &amp; MACA</w:t>
      </w:r>
      <w:r w:rsidRPr="00175C1D">
        <w:br/>
        <w:t xml:space="preserve">Our </w:t>
      </w:r>
      <w:proofErr w:type="spellStart"/>
      <w:r w:rsidRPr="00175C1D">
        <w:t>Rongomaiwahine</w:t>
      </w:r>
      <w:proofErr w:type="spellEnd"/>
      <w:r w:rsidRPr="00175C1D">
        <w:t xml:space="preserve"> Iwi Trust (RIT) has maintained its position on our Treaty settlement interests, including </w:t>
      </w:r>
      <w:proofErr w:type="spellStart"/>
      <w:r w:rsidRPr="00175C1D">
        <w:t>Takutaimoana</w:t>
      </w:r>
      <w:proofErr w:type="spellEnd"/>
      <w:r w:rsidRPr="00175C1D">
        <w:t xml:space="preserve"> (MACA) negotiations and </w:t>
      </w:r>
      <w:proofErr w:type="spellStart"/>
      <w:r w:rsidRPr="00175C1D">
        <w:t>De</w:t>
      </w:r>
      <w:r w:rsidR="00A93358">
        <w:t>ffered</w:t>
      </w:r>
      <w:proofErr w:type="spellEnd"/>
      <w:r w:rsidRPr="00175C1D">
        <w:t xml:space="preserve"> Settlement Property (DSP) discussions with LINZ. These complex processes have faced Crown-driven delays. We acknowledge the frustration this causes and want to assure our beneficiaries that we remain committed to securing the best outcomes and </w:t>
      </w:r>
      <w:r w:rsidR="00934247" w:rsidRPr="00934247">
        <w:t>will be prepared to advance these matters as clear pathways emerge</w:t>
      </w:r>
      <w:r w:rsidRPr="00175C1D">
        <w:t>.</w:t>
      </w:r>
    </w:p>
    <w:p w14:paraId="4DBA41C0" w14:textId="659B3D39" w:rsidR="00175C1D" w:rsidRPr="00175C1D" w:rsidRDefault="00175C1D" w:rsidP="00175C1D">
      <w:pPr>
        <w:spacing w:line="259" w:lineRule="auto"/>
      </w:pPr>
      <w:r w:rsidRPr="00175C1D">
        <w:rPr>
          <w:b/>
          <w:bCs/>
        </w:rPr>
        <w:t>Financial Stewardship</w:t>
      </w:r>
      <w:r w:rsidRPr="00175C1D">
        <w:br/>
        <w:t xml:space="preserve">We celebrate the outstanding performance of </w:t>
      </w:r>
      <w:proofErr w:type="spellStart"/>
      <w:r w:rsidRPr="00175C1D">
        <w:t>Tātau</w:t>
      </w:r>
      <w:proofErr w:type="spellEnd"/>
      <w:r w:rsidRPr="00175C1D">
        <w:t xml:space="preserve"> </w:t>
      </w:r>
      <w:proofErr w:type="spellStart"/>
      <w:r w:rsidRPr="00175C1D">
        <w:t>Tātau</w:t>
      </w:r>
      <w:proofErr w:type="spellEnd"/>
      <w:r w:rsidRPr="00175C1D">
        <w:t xml:space="preserve"> o </w:t>
      </w:r>
      <w:proofErr w:type="spellStart"/>
      <w:r w:rsidRPr="00175C1D">
        <w:t>Te</w:t>
      </w:r>
      <w:proofErr w:type="spellEnd"/>
      <w:r w:rsidRPr="00175C1D">
        <w:t xml:space="preserve"> Wairoa, in which RIT is a beneficiary. The value of the KBUs has seen substantial growth, increasing from $1.3303 to $1.4879, which has lifted </w:t>
      </w:r>
      <w:proofErr w:type="spellStart"/>
      <w:r w:rsidRPr="00175C1D">
        <w:t>Tātau</w:t>
      </w:r>
      <w:proofErr w:type="spellEnd"/>
      <w:r w:rsidRPr="00175C1D">
        <w:t xml:space="preserve"> </w:t>
      </w:r>
      <w:proofErr w:type="spellStart"/>
      <w:r w:rsidRPr="00175C1D">
        <w:t>Tātau</w:t>
      </w:r>
      <w:proofErr w:type="spellEnd"/>
      <w:r w:rsidRPr="00175C1D">
        <w:t xml:space="preserve"> total net assets to approximately $149.4 million. </w:t>
      </w:r>
      <w:r w:rsidR="008A7BBC">
        <w:t xml:space="preserve"> </w:t>
      </w:r>
      <w:r w:rsidR="008A7BBC" w:rsidRPr="008A7BBC">
        <w:t xml:space="preserve">This performance by </w:t>
      </w:r>
      <w:proofErr w:type="spellStart"/>
      <w:r w:rsidR="008A7BBC" w:rsidRPr="008A7BBC">
        <w:t>Tātau</w:t>
      </w:r>
      <w:proofErr w:type="spellEnd"/>
      <w:r w:rsidR="008A7BBC" w:rsidRPr="008A7BBC">
        <w:t xml:space="preserve"> </w:t>
      </w:r>
      <w:proofErr w:type="spellStart"/>
      <w:r w:rsidR="008A7BBC" w:rsidRPr="008A7BBC">
        <w:t>Tātau</w:t>
      </w:r>
      <w:proofErr w:type="spellEnd"/>
      <w:r w:rsidR="008A7BBC" w:rsidRPr="008A7BBC">
        <w:t xml:space="preserve"> contributes to a strong foundation for our iwi's future financial resilience.</w:t>
      </w:r>
    </w:p>
    <w:p w14:paraId="7D793CBC" w14:textId="77777777" w:rsidR="00175C1D" w:rsidRPr="00175C1D" w:rsidRDefault="00175C1D" w:rsidP="00175C1D">
      <w:pPr>
        <w:spacing w:line="259" w:lineRule="auto"/>
      </w:pPr>
      <w:r w:rsidRPr="00175C1D">
        <w:t xml:space="preserve">My deepest gratitude goes to our Chief Executive, Terence Maru, all our Pou (leaders), and every single </w:t>
      </w:r>
      <w:proofErr w:type="spellStart"/>
      <w:r w:rsidRPr="00175C1D">
        <w:t>kaimahi</w:t>
      </w:r>
      <w:proofErr w:type="spellEnd"/>
      <w:r w:rsidRPr="00175C1D">
        <w:t>. Their passion and unwavering commitment are the engine of our success. I also extend my thanks to my fellow Trustees for their wise stewardship, and to you, our whānau, for your trust and partnership.</w:t>
      </w:r>
    </w:p>
    <w:p w14:paraId="2F1BFE45" w14:textId="77777777" w:rsidR="00175C1D" w:rsidRPr="00175C1D" w:rsidRDefault="00175C1D" w:rsidP="00175C1D">
      <w:pPr>
        <w:spacing w:line="259" w:lineRule="auto"/>
      </w:pPr>
      <w:r w:rsidRPr="00175C1D">
        <w:t xml:space="preserve">We enter the coming year with clear priorities and a plan to build on this foundation. The path we are on is deliberate, and our resolve is clear. Together, we will continue to seize every opportunity for the benefit of </w:t>
      </w:r>
      <w:proofErr w:type="spellStart"/>
      <w:r w:rsidRPr="00175C1D">
        <w:t>Rongomaiwahine</w:t>
      </w:r>
      <w:proofErr w:type="spellEnd"/>
      <w:r w:rsidRPr="00175C1D">
        <w:t>.</w:t>
      </w:r>
    </w:p>
    <w:p w14:paraId="5FF66E36" w14:textId="77777777" w:rsidR="00175C1D" w:rsidRPr="00175C1D" w:rsidRDefault="00175C1D" w:rsidP="00175C1D">
      <w:pPr>
        <w:spacing w:line="259" w:lineRule="auto"/>
      </w:pPr>
      <w:r w:rsidRPr="00175C1D">
        <w:lastRenderedPageBreak/>
        <w:t xml:space="preserve">Kia kaha, kia </w:t>
      </w:r>
      <w:proofErr w:type="spellStart"/>
      <w:r w:rsidRPr="00175C1D">
        <w:t>māia</w:t>
      </w:r>
      <w:proofErr w:type="spellEnd"/>
      <w:r w:rsidRPr="00175C1D">
        <w:t xml:space="preserve">, kia </w:t>
      </w:r>
      <w:proofErr w:type="spellStart"/>
      <w:r w:rsidRPr="00175C1D">
        <w:t>manawanui</w:t>
      </w:r>
      <w:proofErr w:type="spellEnd"/>
      <w:r w:rsidRPr="00175C1D">
        <w:t>.</w:t>
      </w:r>
    </w:p>
    <w:p w14:paraId="5AD031EF" w14:textId="77777777" w:rsidR="00175C1D" w:rsidRDefault="00175C1D" w:rsidP="00082365">
      <w:pPr>
        <w:spacing w:line="259" w:lineRule="auto"/>
        <w:rPr>
          <w:i/>
          <w:iCs/>
        </w:rPr>
      </w:pPr>
    </w:p>
    <w:p w14:paraId="48120B24" w14:textId="77777777" w:rsidR="00175C1D" w:rsidRDefault="00175C1D" w:rsidP="00082365">
      <w:pPr>
        <w:spacing w:line="259" w:lineRule="auto"/>
        <w:rPr>
          <w:i/>
          <w:iCs/>
        </w:rPr>
      </w:pPr>
    </w:p>
    <w:p w14:paraId="76BB52AF" w14:textId="77777777" w:rsidR="00082365" w:rsidRDefault="00082365" w:rsidP="00082365">
      <w:pPr>
        <w:spacing w:line="259" w:lineRule="auto"/>
        <w:rPr>
          <w:b/>
          <w:bCs/>
        </w:rPr>
      </w:pPr>
      <w:r w:rsidRPr="00E820A3">
        <w:rPr>
          <w:b/>
          <w:bCs/>
        </w:rPr>
        <w:t>Paul Ratapu</w:t>
      </w:r>
      <w:r w:rsidRPr="00E820A3">
        <w:br/>
      </w:r>
      <w:r w:rsidRPr="00E820A3">
        <w:rPr>
          <w:b/>
          <w:bCs/>
        </w:rPr>
        <w:t>Chairperson</w:t>
      </w:r>
      <w:r w:rsidRPr="00E820A3">
        <w:br/>
      </w:r>
      <w:proofErr w:type="spellStart"/>
      <w:r w:rsidRPr="00E820A3">
        <w:rPr>
          <w:b/>
          <w:bCs/>
        </w:rPr>
        <w:t>Rongomaiwahine</w:t>
      </w:r>
      <w:proofErr w:type="spellEnd"/>
      <w:r w:rsidRPr="00E820A3">
        <w:rPr>
          <w:b/>
          <w:bCs/>
        </w:rPr>
        <w:t xml:space="preserve"> Iwi Trust Group</w:t>
      </w:r>
    </w:p>
    <w:p w14:paraId="3E4D76C5" w14:textId="70858D94" w:rsidR="002E101A" w:rsidRDefault="002E101A">
      <w:pPr>
        <w:rPr>
          <w:b/>
          <w:bCs/>
        </w:rPr>
      </w:pPr>
      <w:r>
        <w:rPr>
          <w:b/>
          <w:bCs/>
        </w:rPr>
        <w:br w:type="page"/>
      </w:r>
    </w:p>
    <w:p w14:paraId="0662D6B2" w14:textId="2637F81D" w:rsidR="003E0036" w:rsidRPr="002E101A" w:rsidRDefault="0086121A" w:rsidP="003E0036">
      <w:pPr>
        <w:pStyle w:val="Heading2"/>
      </w:pPr>
      <w:bookmarkStart w:id="6" w:name="_Toc214702241"/>
      <w:r>
        <w:rPr>
          <w:noProof/>
        </w:rPr>
        <w:lastRenderedPageBreak/>
        <w:drawing>
          <wp:anchor distT="0" distB="0" distL="114300" distR="114300" simplePos="0" relativeHeight="251657215" behindDoc="1" locked="0" layoutInCell="1" allowOverlap="1" wp14:anchorId="2AF68147" wp14:editId="38A5D780">
            <wp:simplePos x="0" y="0"/>
            <wp:positionH relativeFrom="column">
              <wp:posOffset>-1228725</wp:posOffset>
            </wp:positionH>
            <wp:positionV relativeFrom="paragraph">
              <wp:posOffset>-1728787</wp:posOffset>
            </wp:positionV>
            <wp:extent cx="7933690" cy="12611100"/>
            <wp:effectExtent l="0" t="0" r="0" b="0"/>
            <wp:wrapNone/>
            <wp:docPr id="750852267"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52267" name="Picture 5" descr="A close-up of a logo&#10;&#10;AI-generated content may be incorrect."/>
                    <pic:cNvPicPr/>
                  </pic:nvPicPr>
                  <pic:blipFill>
                    <a:blip r:embed="rId10">
                      <a:lum bright="70000" contrast="-70000"/>
                      <a:alphaModFix amt="35000"/>
                      <a:extLst>
                        <a:ext uri="{28A0092B-C50C-407E-A947-70E740481C1C}">
                          <a14:useLocalDpi xmlns:a14="http://schemas.microsoft.com/office/drawing/2010/main" val="0"/>
                        </a:ext>
                      </a:extLst>
                    </a:blip>
                    <a:stretch>
                      <a:fillRect/>
                    </a:stretch>
                  </pic:blipFill>
                  <pic:spPr>
                    <a:xfrm>
                      <a:off x="0" y="0"/>
                      <a:ext cx="7933690" cy="12611100"/>
                    </a:xfrm>
                    <a:prstGeom prst="rect">
                      <a:avLst/>
                    </a:prstGeom>
                  </pic:spPr>
                </pic:pic>
              </a:graphicData>
            </a:graphic>
            <wp14:sizeRelH relativeFrom="margin">
              <wp14:pctWidth>0</wp14:pctWidth>
            </wp14:sizeRelH>
            <wp14:sizeRelV relativeFrom="margin">
              <wp14:pctHeight>0</wp14:pctHeight>
            </wp14:sizeRelV>
          </wp:anchor>
        </w:drawing>
      </w:r>
      <w:r w:rsidR="00E63EC9" w:rsidRPr="00E63EC9">
        <w:t xml:space="preserve"> </w:t>
      </w:r>
      <w:r w:rsidR="003E0036" w:rsidRPr="002E101A">
        <w:t xml:space="preserve">He </w:t>
      </w:r>
      <w:proofErr w:type="spellStart"/>
      <w:r w:rsidR="003E0036" w:rsidRPr="002E101A">
        <w:t>Whakarāpopotonga</w:t>
      </w:r>
      <w:proofErr w:type="spellEnd"/>
      <w:r w:rsidR="003E0036" w:rsidRPr="002E101A">
        <w:t xml:space="preserve"> a </w:t>
      </w:r>
      <w:proofErr w:type="spellStart"/>
      <w:r w:rsidR="003E0036" w:rsidRPr="002E101A">
        <w:t>te</w:t>
      </w:r>
      <w:proofErr w:type="spellEnd"/>
      <w:r w:rsidR="003E0036" w:rsidRPr="002E101A">
        <w:t xml:space="preserve"> </w:t>
      </w:r>
      <w:proofErr w:type="spellStart"/>
      <w:r w:rsidR="003E0036" w:rsidRPr="002E101A">
        <w:t>Kaiwhakahaere</w:t>
      </w:r>
      <w:proofErr w:type="spellEnd"/>
      <w:r w:rsidR="003E0036" w:rsidRPr="002E101A">
        <w:t xml:space="preserve"> Matua | Chief Executive's Overview</w:t>
      </w:r>
      <w:bookmarkEnd w:id="6"/>
    </w:p>
    <w:p w14:paraId="5D6421A0" w14:textId="77777777" w:rsidR="003A0740" w:rsidRPr="003A0740" w:rsidRDefault="003A0740" w:rsidP="002E101A">
      <w:r w:rsidRPr="003A0740">
        <w:t>Terence Maru, Chief Executive</w:t>
      </w:r>
    </w:p>
    <w:p w14:paraId="656AEE1C" w14:textId="77777777" w:rsidR="003A0740" w:rsidRPr="003A0740" w:rsidRDefault="003A0740" w:rsidP="002E101A">
      <w:proofErr w:type="spellStart"/>
      <w:r w:rsidRPr="003A0740">
        <w:t>Tēnā</w:t>
      </w:r>
      <w:proofErr w:type="spellEnd"/>
      <w:r w:rsidRPr="003A0740">
        <w:t xml:space="preserve"> koutou </w:t>
      </w:r>
      <w:proofErr w:type="spellStart"/>
      <w:r w:rsidRPr="003A0740">
        <w:t>katoa</w:t>
      </w:r>
      <w:proofErr w:type="spellEnd"/>
      <w:r w:rsidRPr="003A0740">
        <w:t>,</w:t>
      </w:r>
    </w:p>
    <w:p w14:paraId="686FF07D" w14:textId="77777777" w:rsidR="00110DC0" w:rsidRPr="00110DC0" w:rsidRDefault="00110DC0" w:rsidP="002E101A">
      <w:r w:rsidRPr="00110DC0">
        <w:t xml:space="preserve">This Annual Report for the year ending 30 June 2025 stands as a testament to the profound commitment of our </w:t>
      </w:r>
      <w:proofErr w:type="spellStart"/>
      <w:r w:rsidRPr="00110DC0">
        <w:t>kaimahi</w:t>
      </w:r>
      <w:proofErr w:type="spellEnd"/>
      <w:r w:rsidRPr="00110DC0">
        <w:t xml:space="preserve"> and the strength of our partnerships. It is my privilege to present a year of solid, measurable progress for </w:t>
      </w:r>
      <w:proofErr w:type="spellStart"/>
      <w:r w:rsidRPr="00110DC0">
        <w:t>Rongomaiwahine</w:t>
      </w:r>
      <w:proofErr w:type="spellEnd"/>
      <w:r w:rsidRPr="00110DC0">
        <w:t xml:space="preserve"> Iwi Trust Group, where we have delivered tangible outcomes that directly benefit our people, guided by our strategic Pou.</w:t>
      </w:r>
    </w:p>
    <w:p w14:paraId="5DA94CEA" w14:textId="77777777" w:rsidR="00110DC0" w:rsidRPr="00664AB4" w:rsidRDefault="00110DC0" w:rsidP="002E101A">
      <w:pPr>
        <w:rPr>
          <w:b/>
          <w:bCs/>
        </w:rPr>
      </w:pPr>
      <w:r w:rsidRPr="00664AB4">
        <w:rPr>
          <w:b/>
          <w:bCs/>
        </w:rPr>
        <w:t>POU: MANAAKI – Caring for Our Whānau in Action</w:t>
      </w:r>
    </w:p>
    <w:p w14:paraId="42F89E13" w14:textId="77777777" w:rsidR="00110DC0" w:rsidRPr="00110DC0" w:rsidRDefault="00110DC0" w:rsidP="002E101A">
      <w:r w:rsidRPr="00110DC0">
        <w:t xml:space="preserve">Our value of caring was embedded into action, resulting in strengthened whānau resilience. We placed 18 of our </w:t>
      </w:r>
      <w:proofErr w:type="spellStart"/>
      <w:r w:rsidRPr="00110DC0">
        <w:t>rangatahi</w:t>
      </w:r>
      <w:proofErr w:type="spellEnd"/>
      <w:r w:rsidRPr="00110DC0">
        <w:t xml:space="preserve"> into steady employment and secured 2 cadetships, building a strong foundation for their futures. Our focus on wellbeing saw us facilitate 110 immunisations, deliver 18 outreach wānanga, and support 15 whānau through the Māori Land Court process, ensuring our community was supported, informed, and resilient.</w:t>
      </w:r>
    </w:p>
    <w:p w14:paraId="48AFDC5C" w14:textId="77777777" w:rsidR="00110DC0" w:rsidRPr="00664AB4" w:rsidRDefault="00110DC0" w:rsidP="002E101A">
      <w:pPr>
        <w:rPr>
          <w:b/>
          <w:bCs/>
        </w:rPr>
      </w:pPr>
      <w:r w:rsidRPr="00664AB4">
        <w:rPr>
          <w:b/>
          <w:bCs/>
        </w:rPr>
        <w:t>POU: MANA WHENUA / MANA MOANA – Stewarding Our Lands and Waters</w:t>
      </w:r>
    </w:p>
    <w:p w14:paraId="1DA584B3" w14:textId="08A55E33" w:rsidR="00110DC0" w:rsidRPr="00110DC0" w:rsidRDefault="00110DC0" w:rsidP="002E101A">
      <w:r w:rsidRPr="00110DC0">
        <w:t xml:space="preserve">We actively exercised our </w:t>
      </w:r>
      <w:proofErr w:type="spellStart"/>
      <w:r w:rsidRPr="00110DC0">
        <w:t>kaitiakitanga</w:t>
      </w:r>
      <w:proofErr w:type="spellEnd"/>
      <w:r w:rsidRPr="00110DC0">
        <w:t xml:space="preserve"> across 1,700 hectares of whenua through our pest control programme. </w:t>
      </w:r>
      <w:r w:rsidR="00F25852" w:rsidRPr="00F25852">
        <w:t xml:space="preserve">A draft </w:t>
      </w:r>
      <w:proofErr w:type="spellStart"/>
      <w:r w:rsidR="00F25852" w:rsidRPr="00F25852">
        <w:t>Māhia</w:t>
      </w:r>
      <w:proofErr w:type="spellEnd"/>
      <w:r w:rsidR="00F25852" w:rsidRPr="00F25852">
        <w:t xml:space="preserve"> Freshwater Plan was presented to the Board for feedback. We are now working through that feedback to finalize a plan</w:t>
      </w:r>
      <w:r w:rsidRPr="00110DC0">
        <w:t>.</w:t>
      </w:r>
    </w:p>
    <w:p w14:paraId="4CCB2CE5" w14:textId="77777777" w:rsidR="00110DC0" w:rsidRPr="00664AB4" w:rsidRDefault="00110DC0" w:rsidP="002E101A">
      <w:pPr>
        <w:rPr>
          <w:b/>
          <w:bCs/>
        </w:rPr>
      </w:pPr>
      <w:r w:rsidRPr="00664AB4">
        <w:rPr>
          <w:b/>
          <w:bCs/>
        </w:rPr>
        <w:t>POU: WHAKAPAPA – Weaving Our Identity Together</w:t>
      </w:r>
    </w:p>
    <w:p w14:paraId="29863352" w14:textId="77777777" w:rsidR="00110DC0" w:rsidRPr="00110DC0" w:rsidRDefault="00110DC0" w:rsidP="002E101A">
      <w:r w:rsidRPr="00110DC0">
        <w:t xml:space="preserve">We strengthened the connections that bind us as </w:t>
      </w:r>
      <w:proofErr w:type="spellStart"/>
      <w:r w:rsidRPr="00110DC0">
        <w:t>Rongomaiwahine</w:t>
      </w:r>
      <w:proofErr w:type="spellEnd"/>
      <w:r w:rsidRPr="00110DC0">
        <w:t>. This was achieved by contributing to a community sporting organisation to support a vibrant community hub, a project that has already brought together over 20 whānau. We supported marae resilience and operations through strategic disbursements, empowering them as the heart of our communities.</w:t>
      </w:r>
    </w:p>
    <w:p w14:paraId="670DF039" w14:textId="77777777" w:rsidR="00110DC0" w:rsidRPr="00664AB4" w:rsidRDefault="00110DC0" w:rsidP="002E101A">
      <w:pPr>
        <w:rPr>
          <w:b/>
          <w:bCs/>
        </w:rPr>
      </w:pPr>
      <w:r w:rsidRPr="00664AB4">
        <w:rPr>
          <w:b/>
          <w:bCs/>
        </w:rPr>
        <w:t>POU: MĀTAURANGA – Revitalising Our Knowledge</w:t>
      </w:r>
    </w:p>
    <w:p w14:paraId="1CC5A003" w14:textId="48989F41" w:rsidR="00110DC0" w:rsidRPr="00110DC0" w:rsidRDefault="007C226E" w:rsidP="002E101A">
      <w:r w:rsidRPr="007C226E">
        <w:t xml:space="preserve">We provided </w:t>
      </w:r>
      <w:proofErr w:type="spellStart"/>
      <w:r w:rsidRPr="007C226E">
        <w:t>mātauranga</w:t>
      </w:r>
      <w:proofErr w:type="spellEnd"/>
      <w:r w:rsidRPr="007C226E">
        <w:t xml:space="preserve"> disbursements to our marae, enabling them to support cultural transmission and projects based on their local priorities.</w:t>
      </w:r>
      <w:r w:rsidR="00110DC0" w:rsidRPr="00110DC0">
        <w:t xml:space="preserve"> We delivered 18 outreach wānanga to the wider community. </w:t>
      </w:r>
      <w:r w:rsidR="005B5D03">
        <w:t>We have</w:t>
      </w:r>
      <w:r w:rsidR="00110DC0" w:rsidRPr="00110DC0">
        <w:t xml:space="preserve"> focused on developing a strong Māori language foundation with 10 wānanga for 15 </w:t>
      </w:r>
      <w:proofErr w:type="spellStart"/>
      <w:r w:rsidR="00110DC0" w:rsidRPr="00110DC0">
        <w:t>tauira</w:t>
      </w:r>
      <w:proofErr w:type="spellEnd"/>
      <w:r w:rsidR="00110DC0" w:rsidRPr="00110DC0">
        <w:t>. We are also in the active development phase of a</w:t>
      </w:r>
      <w:r w:rsidR="005B5D03">
        <w:t>n</w:t>
      </w:r>
      <w:r w:rsidR="00110DC0" w:rsidRPr="00110DC0">
        <w:t xml:space="preserve"> educational </w:t>
      </w:r>
      <w:r w:rsidR="005B5D03">
        <w:t>resource</w:t>
      </w:r>
      <w:r w:rsidR="00110DC0" w:rsidRPr="00110DC0">
        <w:t>, which we anticipate completing in the coming months to share with all whānau.</w:t>
      </w:r>
    </w:p>
    <w:p w14:paraId="442AD411" w14:textId="77777777" w:rsidR="00110DC0" w:rsidRPr="00110DC0" w:rsidRDefault="00110DC0" w:rsidP="002E101A">
      <w:r w:rsidRPr="00110DC0">
        <w:lastRenderedPageBreak/>
        <w:t xml:space="preserve">Behind every one of these numbers is the unwavering conviction of our </w:t>
      </w:r>
      <w:proofErr w:type="spellStart"/>
      <w:r w:rsidRPr="00110DC0">
        <w:t>kaimahi</w:t>
      </w:r>
      <w:proofErr w:type="spellEnd"/>
      <w:r w:rsidRPr="00110DC0">
        <w:t xml:space="preserve">. Their work is driven by a deep-seated belief in our </w:t>
      </w:r>
      <w:proofErr w:type="spellStart"/>
      <w:r w:rsidRPr="00110DC0">
        <w:t>kaupapa</w:t>
      </w:r>
      <w:proofErr w:type="spellEnd"/>
      <w:r w:rsidRPr="00110DC0">
        <w:t xml:space="preserve"> and a shared determination to see our iwi not only succeed but thrive.</w:t>
      </w:r>
    </w:p>
    <w:p w14:paraId="0A07A074" w14:textId="77777777" w:rsidR="00110DC0" w:rsidRPr="00110DC0" w:rsidRDefault="00110DC0" w:rsidP="002E101A">
      <w:r w:rsidRPr="00110DC0">
        <w:t>These achievements were accomplished while carefully managing our resources and navigating a challenging funding landscape, and they provide a powerful platform for the ambitious work outlined in our 2025-26 Annual Plan.</w:t>
      </w:r>
    </w:p>
    <w:p w14:paraId="4A3B708F" w14:textId="4FF3218C" w:rsidR="003A0740" w:rsidRPr="003A0740" w:rsidRDefault="00110DC0" w:rsidP="002E101A">
      <w:r w:rsidRPr="00110DC0">
        <w:t xml:space="preserve">None of this would be possible without the unwavering support of our whānau, the commitment of our partners, and the sheer determination of our team. I am deeply proud of what we have accomplished together as we continue to bring the vision </w:t>
      </w:r>
      <w:proofErr w:type="gramStart"/>
      <w:r w:rsidRPr="00110DC0">
        <w:t>of</w:t>
      </w:r>
      <w:proofErr w:type="gramEnd"/>
      <w:r w:rsidRPr="00110DC0">
        <w:t xml:space="preserve"> </w:t>
      </w:r>
      <w:proofErr w:type="spellStart"/>
      <w:r w:rsidRPr="00110DC0">
        <w:t>He</w:t>
      </w:r>
      <w:proofErr w:type="spellEnd"/>
      <w:r w:rsidRPr="00110DC0">
        <w:t xml:space="preserve"> Mahere </w:t>
      </w:r>
      <w:proofErr w:type="spellStart"/>
      <w:r w:rsidRPr="00110DC0">
        <w:t>Rautaki</w:t>
      </w:r>
      <w:proofErr w:type="spellEnd"/>
      <w:r w:rsidRPr="00110DC0">
        <w:t xml:space="preserve"> to life.</w:t>
      </w:r>
    </w:p>
    <w:p w14:paraId="6559E8A7" w14:textId="77777777" w:rsidR="003A0740" w:rsidRPr="003A0740" w:rsidRDefault="003A0740" w:rsidP="002E101A">
      <w:proofErr w:type="spellStart"/>
      <w:r w:rsidRPr="003A0740">
        <w:t>Ngā</w:t>
      </w:r>
      <w:proofErr w:type="spellEnd"/>
      <w:r w:rsidRPr="003A0740">
        <w:t xml:space="preserve"> mihi </w:t>
      </w:r>
      <w:proofErr w:type="spellStart"/>
      <w:r w:rsidRPr="003A0740">
        <w:t>maioha</w:t>
      </w:r>
      <w:proofErr w:type="spellEnd"/>
      <w:r w:rsidRPr="003A0740">
        <w:t>,</w:t>
      </w:r>
    </w:p>
    <w:p w14:paraId="453F2C2E" w14:textId="77777777" w:rsidR="003A0740" w:rsidRPr="003A0740" w:rsidRDefault="003A0740" w:rsidP="002E101A">
      <w:r w:rsidRPr="003A0740">
        <w:t>Terence Maru</w:t>
      </w:r>
      <w:r w:rsidRPr="003A0740">
        <w:br/>
        <w:t>Chief Executive</w:t>
      </w:r>
      <w:r w:rsidRPr="003A0740">
        <w:br/>
      </w:r>
      <w:proofErr w:type="spellStart"/>
      <w:r w:rsidRPr="003A0740">
        <w:t>Rongomaiwahine</w:t>
      </w:r>
      <w:proofErr w:type="spellEnd"/>
      <w:r w:rsidRPr="003A0740">
        <w:t xml:space="preserve"> Iwi Trust Group</w:t>
      </w:r>
    </w:p>
    <w:p w14:paraId="265B2FC6" w14:textId="77777777" w:rsidR="00F50ACC" w:rsidRDefault="00F50ACC" w:rsidP="00E63EC9">
      <w:pPr>
        <w:pStyle w:val="Heading2"/>
      </w:pPr>
    </w:p>
    <w:p w14:paraId="2E6CE81B" w14:textId="25ED5510" w:rsidR="00E63EC9" w:rsidRDefault="00E63EC9" w:rsidP="00E63EC9"/>
    <w:p w14:paraId="2B1B683B" w14:textId="557A71C7" w:rsidR="00F01535" w:rsidRDefault="00F01535">
      <w:r>
        <w:br w:type="page"/>
      </w:r>
    </w:p>
    <w:p w14:paraId="231005CB" w14:textId="6D9FF2B7" w:rsidR="00F01535" w:rsidRDefault="00DD21F4" w:rsidP="00F01535">
      <w:pPr>
        <w:pStyle w:val="Heading2"/>
      </w:pPr>
      <w:bookmarkStart w:id="7" w:name="_Toc214702242"/>
      <w:proofErr w:type="spellStart"/>
      <w:r>
        <w:lastRenderedPageBreak/>
        <w:t>Tātau</w:t>
      </w:r>
      <w:proofErr w:type="spellEnd"/>
      <w:r>
        <w:t xml:space="preserve"> </w:t>
      </w:r>
      <w:proofErr w:type="spellStart"/>
      <w:r>
        <w:t>Tātau</w:t>
      </w:r>
      <w:proofErr w:type="spellEnd"/>
      <w:r>
        <w:t xml:space="preserve"> Representative </w:t>
      </w:r>
      <w:r w:rsidR="00F01535">
        <w:t>Message</w:t>
      </w:r>
      <w:bookmarkEnd w:id="7"/>
    </w:p>
    <w:p w14:paraId="3392FB54" w14:textId="666517D8" w:rsidR="00C31D1C" w:rsidRPr="003A0740" w:rsidRDefault="00C31D1C" w:rsidP="00C31D1C">
      <w:pPr>
        <w:pStyle w:val="Heading2"/>
        <w:rPr>
          <w:rFonts w:asciiTheme="minorHAnsi" w:eastAsiaTheme="minorHAnsi" w:hAnsiTheme="minorHAnsi" w:cstheme="minorBidi"/>
          <w:color w:val="auto"/>
          <w:sz w:val="24"/>
          <w:szCs w:val="24"/>
        </w:rPr>
      </w:pPr>
      <w:bookmarkStart w:id="8" w:name="_Toc214702243"/>
      <w:r>
        <w:rPr>
          <w:rFonts w:asciiTheme="minorHAnsi" w:eastAsiaTheme="minorHAnsi" w:hAnsiTheme="minorHAnsi" w:cstheme="minorBidi"/>
          <w:color w:val="auto"/>
          <w:sz w:val="24"/>
          <w:szCs w:val="24"/>
        </w:rPr>
        <w:t>Leon Symes</w:t>
      </w:r>
      <w:r w:rsidRPr="003A0740">
        <w:rPr>
          <w:rFonts w:asciiTheme="minorHAnsi" w:eastAsiaTheme="minorHAnsi" w:hAnsiTheme="minorHAnsi" w:cstheme="minorBidi"/>
          <w:color w:val="auto"/>
          <w:sz w:val="24"/>
          <w:szCs w:val="24"/>
        </w:rPr>
        <w:t xml:space="preserve">, </w:t>
      </w:r>
      <w:proofErr w:type="spellStart"/>
      <w:r w:rsidRPr="00C31D1C">
        <w:rPr>
          <w:rFonts w:asciiTheme="minorHAnsi" w:eastAsiaTheme="minorHAnsi" w:hAnsiTheme="minorHAnsi" w:cstheme="minorBidi"/>
          <w:color w:val="auto"/>
          <w:sz w:val="24"/>
          <w:szCs w:val="24"/>
        </w:rPr>
        <w:t>Tātau</w:t>
      </w:r>
      <w:proofErr w:type="spellEnd"/>
      <w:r w:rsidRPr="00C31D1C">
        <w:rPr>
          <w:rFonts w:asciiTheme="minorHAnsi" w:eastAsiaTheme="minorHAnsi" w:hAnsiTheme="minorHAnsi" w:cstheme="minorBidi"/>
          <w:color w:val="auto"/>
          <w:sz w:val="24"/>
          <w:szCs w:val="24"/>
        </w:rPr>
        <w:t xml:space="preserve"> </w:t>
      </w:r>
      <w:proofErr w:type="spellStart"/>
      <w:r w:rsidRPr="00C31D1C">
        <w:rPr>
          <w:rFonts w:asciiTheme="minorHAnsi" w:eastAsiaTheme="minorHAnsi" w:hAnsiTheme="minorHAnsi" w:cstheme="minorBidi"/>
          <w:color w:val="auto"/>
          <w:sz w:val="24"/>
          <w:szCs w:val="24"/>
        </w:rPr>
        <w:t>Tātau</w:t>
      </w:r>
      <w:proofErr w:type="spellEnd"/>
      <w:r w:rsidRPr="00C31D1C">
        <w:rPr>
          <w:rFonts w:asciiTheme="minorHAnsi" w:eastAsiaTheme="minorHAnsi" w:hAnsiTheme="minorHAnsi" w:cstheme="minorBidi"/>
          <w:color w:val="auto"/>
          <w:sz w:val="24"/>
          <w:szCs w:val="24"/>
        </w:rPr>
        <w:t xml:space="preserve"> Representative</w:t>
      </w:r>
      <w:bookmarkEnd w:id="8"/>
    </w:p>
    <w:p w14:paraId="335003A1" w14:textId="77777777" w:rsidR="00F25614" w:rsidRDefault="00F25614" w:rsidP="00C3778B"/>
    <w:p w14:paraId="27F92FE9" w14:textId="77777777" w:rsidR="00431DC2" w:rsidRDefault="00431DC2" w:rsidP="00431DC2">
      <w:proofErr w:type="spellStart"/>
      <w:r>
        <w:t>Tēnā</w:t>
      </w:r>
      <w:proofErr w:type="spellEnd"/>
      <w:r>
        <w:t xml:space="preserve"> Koutou Katoa</w:t>
      </w:r>
    </w:p>
    <w:p w14:paraId="2DDCAC10" w14:textId="3C2111FF" w:rsidR="00431DC2" w:rsidRDefault="00431DC2" w:rsidP="00431DC2">
      <w:r>
        <w:t xml:space="preserve">It is with great pleasure that I present </w:t>
      </w:r>
      <w:proofErr w:type="spellStart"/>
      <w:r>
        <w:t>Tātau</w:t>
      </w:r>
      <w:proofErr w:type="spellEnd"/>
      <w:r>
        <w:t xml:space="preserve"> </w:t>
      </w:r>
      <w:proofErr w:type="spellStart"/>
      <w:r>
        <w:t>Tātau</w:t>
      </w:r>
      <w:proofErr w:type="spellEnd"/>
      <w:r>
        <w:t xml:space="preserve"> o </w:t>
      </w:r>
      <w:proofErr w:type="spellStart"/>
      <w:r>
        <w:t>Te</w:t>
      </w:r>
      <w:proofErr w:type="spellEnd"/>
      <w:r>
        <w:t xml:space="preserve"> Wairoa </w:t>
      </w:r>
      <w:proofErr w:type="spellStart"/>
      <w:r>
        <w:t>Kāhui</w:t>
      </w:r>
      <w:proofErr w:type="spellEnd"/>
      <w:r>
        <w:t xml:space="preserve"> Representative Report for </w:t>
      </w:r>
      <w:proofErr w:type="spellStart"/>
      <w:r>
        <w:t>Rongomaiwahine</w:t>
      </w:r>
      <w:proofErr w:type="spellEnd"/>
      <w:r>
        <w:t xml:space="preserve"> Iwi for year ending 2025. I would like to start by firstly acknowledging those who have lost loved ones, </w:t>
      </w:r>
      <w:r w:rsidR="00A40634">
        <w:t>may</w:t>
      </w:r>
      <w:r>
        <w:t xml:space="preserve"> they always remain present with us forever. This year has been defined by strategic growth and a reinforced commitment to our people. We have made significant progress against our long-term vision while navigating a challenging economic climate, all with the goal of building a self-sustaining and resilient future for our whānau.</w:t>
      </w:r>
    </w:p>
    <w:p w14:paraId="05C1A7E0" w14:textId="77777777" w:rsidR="00431DC2" w:rsidRDefault="00431DC2" w:rsidP="00431DC2">
      <w:r>
        <w:t xml:space="preserve">The key highlights for </w:t>
      </w:r>
      <w:proofErr w:type="spellStart"/>
      <w:r>
        <w:t>Tātau</w:t>
      </w:r>
      <w:proofErr w:type="spellEnd"/>
      <w:r>
        <w:t xml:space="preserve"> </w:t>
      </w:r>
      <w:proofErr w:type="spellStart"/>
      <w:r>
        <w:t>Tātau</w:t>
      </w:r>
      <w:proofErr w:type="spellEnd"/>
      <w:r>
        <w:t xml:space="preserve"> over the past 12 months include:</w:t>
      </w:r>
    </w:p>
    <w:p w14:paraId="7151E97B" w14:textId="77777777" w:rsidR="00431DC2" w:rsidRDefault="00431DC2" w:rsidP="00431DC2">
      <w:pPr>
        <w:ind w:left="720"/>
      </w:pPr>
      <w:r>
        <w:t>1. Flood mitigation and resilience for our Wairoa whānau directly impacted post Cyclone Gabrielle.</w:t>
      </w:r>
    </w:p>
    <w:p w14:paraId="6E76FADB" w14:textId="77777777" w:rsidR="00431DC2" w:rsidRDefault="00431DC2" w:rsidP="00431DC2">
      <w:pPr>
        <w:ind w:left="720"/>
      </w:pPr>
      <w:r>
        <w:t>2. Pod Accommodation permanency planning underway, with Housing Repairs completed on 43 homes.</w:t>
      </w:r>
    </w:p>
    <w:p w14:paraId="6582A868" w14:textId="77777777" w:rsidR="00431DC2" w:rsidRDefault="00431DC2" w:rsidP="00431DC2">
      <w:pPr>
        <w:ind w:left="720"/>
      </w:pPr>
      <w:r>
        <w:t xml:space="preserve">3. Review of the Trust Deed </w:t>
      </w:r>
      <w:proofErr w:type="gramStart"/>
      <w:r>
        <w:t>completed</w:t>
      </w:r>
      <w:proofErr w:type="gramEnd"/>
      <w:r>
        <w:t xml:space="preserve"> and Strategic Plan developed into a new 50-year strategic vision.</w:t>
      </w:r>
    </w:p>
    <w:p w14:paraId="60837991" w14:textId="77777777" w:rsidR="00431DC2" w:rsidRDefault="00431DC2" w:rsidP="00431DC2">
      <w:pPr>
        <w:ind w:left="720"/>
      </w:pPr>
      <w:r>
        <w:t>4. Advocacy continued through submissions on critical legislation within the current political landscape.</w:t>
      </w:r>
    </w:p>
    <w:p w14:paraId="2EDB9D13" w14:textId="77777777" w:rsidR="00431DC2" w:rsidRDefault="00431DC2" w:rsidP="00431DC2">
      <w:pPr>
        <w:ind w:left="720"/>
      </w:pPr>
      <w:r>
        <w:t xml:space="preserve">5. Government funding for vital infrastructure for </w:t>
      </w:r>
      <w:proofErr w:type="spellStart"/>
      <w:r>
        <w:t>Haumako</w:t>
      </w:r>
      <w:proofErr w:type="spellEnd"/>
      <w:r>
        <w:t xml:space="preserve"> water storage and a new cool store building.</w:t>
      </w:r>
    </w:p>
    <w:p w14:paraId="3A259CDF" w14:textId="77777777" w:rsidR="00431DC2" w:rsidRDefault="00431DC2" w:rsidP="00431DC2">
      <w:pPr>
        <w:ind w:left="720"/>
      </w:pPr>
      <w:r>
        <w:t xml:space="preserve">6. 27 houses in the </w:t>
      </w:r>
      <w:proofErr w:type="spellStart"/>
      <w:r>
        <w:t>Te</w:t>
      </w:r>
      <w:proofErr w:type="spellEnd"/>
      <w:r>
        <w:t xml:space="preserve"> </w:t>
      </w:r>
      <w:proofErr w:type="spellStart"/>
      <w:r>
        <w:t>Rauā</w:t>
      </w:r>
      <w:proofErr w:type="spellEnd"/>
      <w:r>
        <w:t xml:space="preserve"> Development built, with 25 tenanted and a further 16 nearing </w:t>
      </w:r>
      <w:proofErr w:type="gramStart"/>
      <w:r>
        <w:t>completion</w:t>
      </w:r>
      <w:proofErr w:type="gramEnd"/>
      <w:r>
        <w:t>.</w:t>
      </w:r>
    </w:p>
    <w:p w14:paraId="4FFFEEFA" w14:textId="77777777" w:rsidR="00431DC2" w:rsidRDefault="00431DC2" w:rsidP="00431DC2">
      <w:pPr>
        <w:ind w:left="720"/>
      </w:pPr>
      <w:r>
        <w:t>7. Direct support for our whānau included 81 educational scholarships and community sponsorships.</w:t>
      </w:r>
    </w:p>
    <w:p w14:paraId="287FD01A" w14:textId="77777777" w:rsidR="00431DC2" w:rsidRDefault="00431DC2" w:rsidP="00431DC2">
      <w:pPr>
        <w:ind w:left="720"/>
      </w:pPr>
      <w:r>
        <w:t>8. Strengthened our commercial entity, E Tipu, by enhancing skills base by appointing 4 new directors</w:t>
      </w:r>
    </w:p>
    <w:p w14:paraId="4A5F42C5" w14:textId="77777777" w:rsidR="00431DC2" w:rsidRDefault="00431DC2" w:rsidP="00431DC2">
      <w:proofErr w:type="gramStart"/>
      <w:r>
        <w:t>Also</w:t>
      </w:r>
      <w:proofErr w:type="gramEnd"/>
      <w:r>
        <w:t xml:space="preserve"> of note where we have specific interest include:</w:t>
      </w:r>
    </w:p>
    <w:p w14:paraId="43916ACA" w14:textId="77777777" w:rsidR="00431DC2" w:rsidRPr="00431DC2" w:rsidRDefault="00431DC2" w:rsidP="00431DC2">
      <w:pPr>
        <w:rPr>
          <w:b/>
          <w:bCs/>
        </w:rPr>
      </w:pPr>
      <w:r w:rsidRPr="00431DC2">
        <w:rPr>
          <w:b/>
          <w:bCs/>
        </w:rPr>
        <w:t>Deferred Selection Properties</w:t>
      </w:r>
    </w:p>
    <w:p w14:paraId="21A8512D" w14:textId="5BBC3D53" w:rsidR="00431DC2" w:rsidRDefault="00643F74" w:rsidP="00431DC2">
      <w:r w:rsidRPr="00643F74">
        <w:t xml:space="preserve">Due to unforeseen issues, no properties were able to transfer during the financial year. However, the process to transfer the former YMCA </w:t>
      </w:r>
      <w:proofErr w:type="gramStart"/>
      <w:r w:rsidRPr="00643F74">
        <w:t>Camp Grounds</w:t>
      </w:r>
      <w:proofErr w:type="gramEnd"/>
      <w:r w:rsidRPr="00643F74">
        <w:t xml:space="preserve"> (valued at $173,000) into RIT ownership was well-advanced at year-end, with completion anticipated </w:t>
      </w:r>
      <w:r w:rsidRPr="00643F74">
        <w:lastRenderedPageBreak/>
        <w:t xml:space="preserve">imminently. </w:t>
      </w:r>
      <w:r w:rsidR="00431DC2">
        <w:t xml:space="preserve">The former </w:t>
      </w:r>
      <w:proofErr w:type="spellStart"/>
      <w:r w:rsidR="00431DC2">
        <w:t>Opoutama</w:t>
      </w:r>
      <w:proofErr w:type="spellEnd"/>
      <w:r w:rsidR="00431DC2">
        <w:t xml:space="preserve"> School with a transfer value of $440,000 is delayed further due to issues around vacant possession, there is an unknown timeframe still on resolution. In terms of the Mahia East Coast Road Forest, this is still in negotiations with a significant difference in tree valuations between valuers. RIT and </w:t>
      </w:r>
      <w:proofErr w:type="spellStart"/>
      <w:r w:rsidR="00431DC2">
        <w:t>Tātau</w:t>
      </w:r>
      <w:proofErr w:type="spellEnd"/>
      <w:r w:rsidR="00431DC2">
        <w:t xml:space="preserve"> </w:t>
      </w:r>
      <w:proofErr w:type="spellStart"/>
      <w:r w:rsidR="00431DC2">
        <w:t>Tātau</w:t>
      </w:r>
      <w:proofErr w:type="spellEnd"/>
      <w:r w:rsidR="00431DC2">
        <w:t xml:space="preserve"> representatives have been firm with LINZ to ensure our position of ensuring that this property should be transferred for the least amount of money that reflects the true economic value for best use going forward.</w:t>
      </w:r>
    </w:p>
    <w:p w14:paraId="513EDFCC" w14:textId="77777777" w:rsidR="00431DC2" w:rsidRPr="00431DC2" w:rsidRDefault="00431DC2" w:rsidP="00431DC2">
      <w:pPr>
        <w:rPr>
          <w:b/>
          <w:bCs/>
        </w:rPr>
      </w:pPr>
      <w:r w:rsidRPr="00431DC2">
        <w:rPr>
          <w:b/>
          <w:bCs/>
        </w:rPr>
        <w:t xml:space="preserve">Eighth Year </w:t>
      </w:r>
      <w:proofErr w:type="spellStart"/>
      <w:r w:rsidRPr="00431DC2">
        <w:rPr>
          <w:b/>
          <w:bCs/>
        </w:rPr>
        <w:t>Kāhui</w:t>
      </w:r>
      <w:proofErr w:type="spellEnd"/>
      <w:r w:rsidRPr="00431DC2">
        <w:rPr>
          <w:b/>
          <w:bCs/>
        </w:rPr>
        <w:t xml:space="preserve"> Distribution</w:t>
      </w:r>
    </w:p>
    <w:p w14:paraId="3ADA04E3" w14:textId="5B55BF34" w:rsidR="00431DC2" w:rsidRDefault="00431DC2" w:rsidP="00431DC2">
      <w:r>
        <w:t xml:space="preserve">With the return of investments in key asset classes rebounding, there has been a further increase in the </w:t>
      </w:r>
      <w:proofErr w:type="spellStart"/>
      <w:r>
        <w:t>Kāhui</w:t>
      </w:r>
      <w:proofErr w:type="spellEnd"/>
      <w:r>
        <w:t xml:space="preserve"> Beneficial Unit value over the past financial year increasing from $1.33 to $1.48. Though this increase needs to be taken into perspective, particularly as key government contracts around housing initiatives have effectively increased the revenue and asset base as these projects are delivered. Continuing to generate cash returns is the biggest challenge, while waiting for local investments into Horticulture come to fruition to deliver the projected cash distributions. Like previous years the amount in the pool for </w:t>
      </w:r>
      <w:proofErr w:type="spellStart"/>
      <w:r>
        <w:t>Kāhui</w:t>
      </w:r>
      <w:proofErr w:type="spellEnd"/>
      <w:r>
        <w:t xml:space="preserve"> distribution has been set by </w:t>
      </w:r>
      <w:proofErr w:type="spellStart"/>
      <w:r>
        <w:t>Tātau</w:t>
      </w:r>
      <w:proofErr w:type="spellEnd"/>
      <w:r>
        <w:t xml:space="preserve"> </w:t>
      </w:r>
      <w:proofErr w:type="spellStart"/>
      <w:r>
        <w:t>Tātau</w:t>
      </w:r>
      <w:proofErr w:type="spellEnd"/>
      <w:r>
        <w:t xml:space="preserve"> Board, this will likely change as the opportunity for </w:t>
      </w:r>
      <w:proofErr w:type="spellStart"/>
      <w:r>
        <w:t>Kāhui</w:t>
      </w:r>
      <w:proofErr w:type="spellEnd"/>
      <w:r>
        <w:t xml:space="preserve"> to exist and become independent is a potentiality.</w:t>
      </w:r>
    </w:p>
    <w:p w14:paraId="7124D1ED" w14:textId="6575A55F" w:rsidR="00431DC2" w:rsidRDefault="00431DC2" w:rsidP="00431DC2">
      <w:proofErr w:type="gramStart"/>
      <w:r>
        <w:t>Finally</w:t>
      </w:r>
      <w:proofErr w:type="gramEnd"/>
      <w:r>
        <w:t xml:space="preserve"> it has been an honour to represent your collective interest, it has been a privilege to serve our </w:t>
      </w:r>
      <w:proofErr w:type="gramStart"/>
      <w:r>
        <w:t>people</w:t>
      </w:r>
      <w:proofErr w:type="gramEnd"/>
      <w:r>
        <w:t xml:space="preserve"> and I look forward to connecting with whānau at the </w:t>
      </w:r>
      <w:proofErr w:type="spellStart"/>
      <w:r>
        <w:t>Tātau</w:t>
      </w:r>
      <w:proofErr w:type="spellEnd"/>
      <w:r>
        <w:t xml:space="preserve"> </w:t>
      </w:r>
      <w:proofErr w:type="spellStart"/>
      <w:r>
        <w:t>Tātau</w:t>
      </w:r>
      <w:proofErr w:type="spellEnd"/>
      <w:r>
        <w:t xml:space="preserve"> AGM on 13th December 2025 in Wairoa. My sincere thanks to our trustees and all our whānau for your support. Together, we are building a legacy of prosperity and opportunity. I hope to see as many as you as I can in the new year, have a Merry Christmas and a Happy New Year.</w:t>
      </w:r>
    </w:p>
    <w:p w14:paraId="2C965DF8" w14:textId="77777777" w:rsidR="00431DC2" w:rsidRDefault="00431DC2" w:rsidP="00431DC2">
      <w:proofErr w:type="spellStart"/>
      <w:r>
        <w:t>Nāku</w:t>
      </w:r>
      <w:proofErr w:type="spellEnd"/>
      <w:r>
        <w:t xml:space="preserve"> Noa, </w:t>
      </w:r>
      <w:proofErr w:type="spellStart"/>
      <w:r>
        <w:t>Nā</w:t>
      </w:r>
      <w:proofErr w:type="spellEnd"/>
    </w:p>
    <w:p w14:paraId="23E4240B" w14:textId="1F9FCA16" w:rsidR="00431DC2" w:rsidRDefault="00431DC2" w:rsidP="00431DC2">
      <w:r>
        <w:t>Leon Symes (</w:t>
      </w:r>
      <w:proofErr w:type="spellStart"/>
      <w:r>
        <w:t>Rongomaiwahine</w:t>
      </w:r>
      <w:proofErr w:type="spellEnd"/>
      <w:r>
        <w:t xml:space="preserve"> Iwi - </w:t>
      </w:r>
      <w:proofErr w:type="spellStart"/>
      <w:r>
        <w:t>Tātau</w:t>
      </w:r>
      <w:proofErr w:type="spellEnd"/>
      <w:r>
        <w:t xml:space="preserve"> </w:t>
      </w:r>
      <w:proofErr w:type="spellStart"/>
      <w:r>
        <w:t>Tātau</w:t>
      </w:r>
      <w:proofErr w:type="spellEnd"/>
      <w:r>
        <w:t xml:space="preserve"> Representative)</w:t>
      </w:r>
    </w:p>
    <w:p w14:paraId="62A31A32" w14:textId="1F1365E0" w:rsidR="00CE3E2A" w:rsidRDefault="00CE3E2A">
      <w:r>
        <w:br w:type="page"/>
      </w:r>
    </w:p>
    <w:p w14:paraId="4E5A5E02" w14:textId="1E13DBEC" w:rsidR="009624E7" w:rsidRPr="00E63EC9" w:rsidRDefault="00000000" w:rsidP="009624E7">
      <w:r>
        <w:lastRenderedPageBreak/>
        <w:pict w14:anchorId="10B36C9C">
          <v:rect id="_x0000_i1025" style="width:0;height:.75pt" o:hralign="center" o:hrstd="t" o:hr="t" fillcolor="#a0a0a0" stroked="f"/>
        </w:pict>
      </w:r>
    </w:p>
    <w:p w14:paraId="6879E762" w14:textId="53034952" w:rsidR="009624E7" w:rsidRPr="009624E7" w:rsidRDefault="009624E7" w:rsidP="009624E7">
      <w:pPr>
        <w:pStyle w:val="Heading2"/>
      </w:pPr>
      <w:bookmarkStart w:id="9" w:name="OLE_LINK2"/>
      <w:bookmarkStart w:id="10" w:name="_Toc214702244"/>
      <w:r w:rsidRPr="009624E7">
        <w:t>Strategic Context</w:t>
      </w:r>
      <w:bookmarkEnd w:id="9"/>
      <w:bookmarkEnd w:id="10"/>
    </w:p>
    <w:p w14:paraId="27AE86A6" w14:textId="77777777" w:rsidR="009624E7" w:rsidRPr="009624E7" w:rsidRDefault="009624E7" w:rsidP="009624E7">
      <w:r w:rsidRPr="009624E7">
        <w:t>The 2024-25 year was shaped by a significant shift in the public funding environment, with fewer government contracts available across the sector. Rather than competing for scarce resources or over-extending our organization, we made a strategic decision to align our operational scale with genuine opportunities.</w:t>
      </w:r>
    </w:p>
    <w:p w14:paraId="6D70654B" w14:textId="77777777" w:rsidR="009624E7" w:rsidRPr="009624E7" w:rsidRDefault="009624E7" w:rsidP="009624E7">
      <w:r w:rsidRPr="009624E7">
        <w:t>This meant focusing our resources on delivering exceptional outcomes through our most critical projects while maintaining financial sustainability. We chose to operate as a lean, agile organization that could deliver high-impact results and position ourselves to capitalize on new opportunities as they emerge.</w:t>
      </w:r>
    </w:p>
    <w:p w14:paraId="0BEAEA08" w14:textId="77777777" w:rsidR="009624E7" w:rsidRPr="009624E7" w:rsidRDefault="009624E7" w:rsidP="009624E7">
      <w:r w:rsidRPr="009624E7">
        <w:t>This strategic positioning allowed us to:</w:t>
      </w:r>
    </w:p>
    <w:p w14:paraId="4E20EB14" w14:textId="502A5E84" w:rsidR="009624E7" w:rsidRPr="009624E7" w:rsidRDefault="009624E7" w:rsidP="009624E7">
      <w:pPr>
        <w:numPr>
          <w:ilvl w:val="0"/>
          <w:numId w:val="21"/>
        </w:numPr>
      </w:pPr>
      <w:r w:rsidRPr="009624E7">
        <w:rPr>
          <w:b/>
          <w:bCs/>
        </w:rPr>
        <w:t>Focus on Excellence</w:t>
      </w:r>
      <w:r w:rsidRPr="009624E7">
        <w:t> in fewer, high-impact projects rather than spreading resources thin</w:t>
      </w:r>
    </w:p>
    <w:p w14:paraId="5FE7449E" w14:textId="77777777" w:rsidR="009624E7" w:rsidRPr="009624E7" w:rsidRDefault="009624E7" w:rsidP="009624E7">
      <w:pPr>
        <w:numPr>
          <w:ilvl w:val="0"/>
          <w:numId w:val="21"/>
        </w:numPr>
      </w:pPr>
      <w:r w:rsidRPr="009624E7">
        <w:rPr>
          <w:b/>
          <w:bCs/>
        </w:rPr>
        <w:t>Maintain Financial Sustainability</w:t>
      </w:r>
      <w:r w:rsidRPr="009624E7">
        <w:t> by ensuring our costs matched our secure revenue streams</w:t>
      </w:r>
    </w:p>
    <w:p w14:paraId="46403FE2" w14:textId="77777777" w:rsidR="009624E7" w:rsidRPr="009624E7" w:rsidRDefault="009624E7" w:rsidP="009624E7">
      <w:pPr>
        <w:numPr>
          <w:ilvl w:val="0"/>
          <w:numId w:val="21"/>
        </w:numPr>
      </w:pPr>
      <w:r w:rsidRPr="009624E7">
        <w:rPr>
          <w:b/>
          <w:bCs/>
        </w:rPr>
        <w:t>Preserve Organizational Capacity</w:t>
      </w:r>
      <w:r w:rsidRPr="009624E7">
        <w:t> to scale when market conditions improve</w:t>
      </w:r>
    </w:p>
    <w:p w14:paraId="29DF9CD1" w14:textId="77777777" w:rsidR="009624E7" w:rsidRPr="009624E7" w:rsidRDefault="009624E7" w:rsidP="009624E7">
      <w:pPr>
        <w:numPr>
          <w:ilvl w:val="0"/>
          <w:numId w:val="21"/>
        </w:numPr>
      </w:pPr>
      <w:r w:rsidRPr="009624E7">
        <w:rPr>
          <w:b/>
          <w:bCs/>
        </w:rPr>
        <w:t>Demonstrate Fiscal Responsibility</w:t>
      </w:r>
      <w:r w:rsidRPr="009624E7">
        <w:t> in our stewardship of iwi resources</w:t>
      </w:r>
    </w:p>
    <w:p w14:paraId="028FBDFE" w14:textId="77777777" w:rsidR="009624E7" w:rsidRPr="009624E7" w:rsidRDefault="009624E7" w:rsidP="009624E7">
      <w:r w:rsidRPr="009624E7">
        <w:t>The results that follow demonstrate how this focused approach delivered meaningful impact for our whānau while building a resilient organization capable of weathering market fluctuations.</w:t>
      </w:r>
    </w:p>
    <w:p w14:paraId="2BED25D2" w14:textId="77777777" w:rsidR="009624E7" w:rsidRDefault="009624E7" w:rsidP="00E63EC9"/>
    <w:p w14:paraId="3481C481" w14:textId="77777777" w:rsidR="00E63EC9" w:rsidRPr="00E63EC9" w:rsidRDefault="00000000" w:rsidP="00E63EC9">
      <w:r>
        <w:pict w14:anchorId="3B8216E7">
          <v:rect id="_x0000_i1026" style="width:0;height:.75pt" o:hralign="center" o:hrstd="t" o:hr="t" fillcolor="#a0a0a0" stroked="f"/>
        </w:pict>
      </w:r>
    </w:p>
    <w:p w14:paraId="2CE19EF6" w14:textId="6264D3A8" w:rsidR="00E63EC9" w:rsidRPr="00E63EC9" w:rsidRDefault="00E63EC9" w:rsidP="00E63EC9">
      <w:pPr>
        <w:pStyle w:val="Heading2"/>
      </w:pPr>
      <w:bookmarkStart w:id="11" w:name="_Toc214702245"/>
      <w:r w:rsidRPr="00E63EC9">
        <w:t xml:space="preserve">Our Year: 2024-25 </w:t>
      </w:r>
      <w:proofErr w:type="gramStart"/>
      <w:r w:rsidRPr="00E63EC9">
        <w:t>at a Glance</w:t>
      </w:r>
      <w:bookmarkEnd w:id="11"/>
      <w:proofErr w:type="gramEnd"/>
    </w:p>
    <w:p w14:paraId="0CCBDAEE" w14:textId="787EB568" w:rsidR="00E63EC9" w:rsidRPr="00E63EC9" w:rsidRDefault="00B20EE4" w:rsidP="00E63EC9">
      <w:r w:rsidRPr="00B20EE4">
        <w:t xml:space="preserve">Our work in 2024-25 delivered positive outcomes across all areas of our strategy for our 1,884 eligible iwi members. The table below summarises our key areas of achievement. </w:t>
      </w:r>
      <w:r w:rsidR="00000000">
        <w:pict w14:anchorId="2EB85387">
          <v:rect id="_x0000_i1027" style="width:0;height:.75pt" o:hralign="center" o:hrstd="t" o:hr="t" fillcolor="#a0a0a0" stroked="f"/>
        </w:pict>
      </w:r>
    </w:p>
    <w:tbl>
      <w:tblPr>
        <w:tblW w:w="0" w:type="auto"/>
        <w:tblCellMar>
          <w:top w:w="15" w:type="dxa"/>
          <w:left w:w="15" w:type="dxa"/>
          <w:bottom w:w="15" w:type="dxa"/>
          <w:right w:w="15" w:type="dxa"/>
        </w:tblCellMar>
        <w:tblLook w:val="04A0" w:firstRow="1" w:lastRow="0" w:firstColumn="1" w:lastColumn="0" w:noHBand="0" w:noVBand="1"/>
      </w:tblPr>
      <w:tblGrid>
        <w:gridCol w:w="2197"/>
        <w:gridCol w:w="6829"/>
      </w:tblGrid>
      <w:tr w:rsidR="0071585D" w:rsidRPr="0071585D" w14:paraId="5B47A4F3" w14:textId="77777777" w:rsidTr="00AF35B4">
        <w:trPr>
          <w:tblHeader/>
        </w:trPr>
        <w:tc>
          <w:tcPr>
            <w:tcW w:w="0" w:type="auto"/>
            <w:tcBorders>
              <w:top w:val="nil"/>
            </w:tcBorders>
            <w:shd w:val="clear" w:color="auto" w:fill="D9D9D9" w:themeFill="background1" w:themeFillShade="D9"/>
            <w:tcMar>
              <w:top w:w="150" w:type="dxa"/>
              <w:left w:w="0" w:type="dxa"/>
              <w:bottom w:w="150" w:type="dxa"/>
              <w:right w:w="240" w:type="dxa"/>
            </w:tcMar>
            <w:vAlign w:val="center"/>
            <w:hideMark/>
          </w:tcPr>
          <w:p w14:paraId="4FA10833" w14:textId="77777777" w:rsidR="0071585D" w:rsidRPr="00AF35B4" w:rsidRDefault="0071585D" w:rsidP="0071585D">
            <w:pPr>
              <w:rPr>
                <w:b/>
                <w:bCs/>
              </w:rPr>
            </w:pPr>
            <w:r w:rsidRPr="00AF35B4">
              <w:rPr>
                <w:b/>
                <w:bCs/>
              </w:rPr>
              <w:t>Area of Focus</w:t>
            </w:r>
          </w:p>
        </w:tc>
        <w:tc>
          <w:tcPr>
            <w:tcW w:w="0" w:type="auto"/>
            <w:tcBorders>
              <w:top w:val="nil"/>
            </w:tcBorders>
            <w:shd w:val="clear" w:color="auto" w:fill="D9D9D9" w:themeFill="background1" w:themeFillShade="D9"/>
            <w:tcMar>
              <w:top w:w="150" w:type="dxa"/>
              <w:left w:w="240" w:type="dxa"/>
              <w:bottom w:w="150" w:type="dxa"/>
              <w:right w:w="240" w:type="dxa"/>
            </w:tcMar>
            <w:vAlign w:val="center"/>
            <w:hideMark/>
          </w:tcPr>
          <w:p w14:paraId="6FC45D99" w14:textId="77777777" w:rsidR="0071585D" w:rsidRPr="00AF35B4" w:rsidRDefault="0071585D" w:rsidP="0071585D">
            <w:pPr>
              <w:rPr>
                <w:b/>
                <w:bCs/>
              </w:rPr>
            </w:pPr>
            <w:r w:rsidRPr="00AF35B4">
              <w:rPr>
                <w:b/>
                <w:bCs/>
              </w:rPr>
              <w:t>Summary of Achievements</w:t>
            </w:r>
          </w:p>
        </w:tc>
      </w:tr>
      <w:tr w:rsidR="0071585D" w:rsidRPr="0071585D" w14:paraId="165FAF29" w14:textId="77777777">
        <w:tc>
          <w:tcPr>
            <w:tcW w:w="0" w:type="auto"/>
            <w:tcMar>
              <w:top w:w="150" w:type="dxa"/>
              <w:left w:w="0" w:type="dxa"/>
              <w:bottom w:w="150" w:type="dxa"/>
              <w:right w:w="240" w:type="dxa"/>
            </w:tcMar>
            <w:vAlign w:val="center"/>
            <w:hideMark/>
          </w:tcPr>
          <w:p w14:paraId="668FED8B" w14:textId="77777777" w:rsidR="0071585D" w:rsidRPr="0071585D" w:rsidRDefault="0071585D" w:rsidP="0071585D">
            <w:r w:rsidRPr="0071585D">
              <w:rPr>
                <w:b/>
                <w:bCs/>
              </w:rPr>
              <w:t>Whānau Wellbeing</w:t>
            </w:r>
          </w:p>
        </w:tc>
        <w:tc>
          <w:tcPr>
            <w:tcW w:w="0" w:type="auto"/>
            <w:tcMar>
              <w:top w:w="150" w:type="dxa"/>
              <w:left w:w="240" w:type="dxa"/>
              <w:bottom w:w="150" w:type="dxa"/>
              <w:right w:w="0" w:type="dxa"/>
            </w:tcMar>
            <w:vAlign w:val="center"/>
            <w:hideMark/>
          </w:tcPr>
          <w:p w14:paraId="3A98E395" w14:textId="77777777" w:rsidR="0071585D" w:rsidRPr="0071585D" w:rsidRDefault="0071585D" w:rsidP="0071585D">
            <w:r w:rsidRPr="0071585D">
              <w:t xml:space="preserve">Successfully supported community health and resilience through immunisation outreach, wellness wānanga, and direct access to </w:t>
            </w:r>
            <w:proofErr w:type="spellStart"/>
            <w:r w:rsidRPr="0071585D">
              <w:t>hauora</w:t>
            </w:r>
            <w:proofErr w:type="spellEnd"/>
            <w:r w:rsidRPr="0071585D">
              <w:t xml:space="preserve"> and social services.</w:t>
            </w:r>
          </w:p>
        </w:tc>
      </w:tr>
      <w:tr w:rsidR="0071585D" w:rsidRPr="0071585D" w14:paraId="57DFD018" w14:textId="77777777">
        <w:tc>
          <w:tcPr>
            <w:tcW w:w="0" w:type="auto"/>
            <w:tcMar>
              <w:top w:w="150" w:type="dxa"/>
              <w:left w:w="0" w:type="dxa"/>
              <w:bottom w:w="150" w:type="dxa"/>
              <w:right w:w="240" w:type="dxa"/>
            </w:tcMar>
            <w:vAlign w:val="center"/>
            <w:hideMark/>
          </w:tcPr>
          <w:p w14:paraId="6FCF7E2D" w14:textId="77777777" w:rsidR="0071585D" w:rsidRPr="0071585D" w:rsidRDefault="0071585D" w:rsidP="0071585D">
            <w:proofErr w:type="spellStart"/>
            <w:r w:rsidRPr="0071585D">
              <w:rPr>
                <w:b/>
                <w:bCs/>
              </w:rPr>
              <w:lastRenderedPageBreak/>
              <w:t>Rangatahi</w:t>
            </w:r>
            <w:proofErr w:type="spellEnd"/>
            <w:r w:rsidRPr="0071585D">
              <w:rPr>
                <w:b/>
                <w:bCs/>
              </w:rPr>
              <w:t xml:space="preserve"> &amp; Employment</w:t>
            </w:r>
          </w:p>
        </w:tc>
        <w:tc>
          <w:tcPr>
            <w:tcW w:w="0" w:type="auto"/>
            <w:tcMar>
              <w:top w:w="150" w:type="dxa"/>
              <w:left w:w="240" w:type="dxa"/>
              <w:bottom w:w="150" w:type="dxa"/>
              <w:right w:w="0" w:type="dxa"/>
            </w:tcMar>
            <w:vAlign w:val="center"/>
            <w:hideMark/>
          </w:tcPr>
          <w:p w14:paraId="06286CBA" w14:textId="756FD346" w:rsidR="0071585D" w:rsidRPr="0071585D" w:rsidRDefault="0071585D" w:rsidP="0071585D">
            <w:r w:rsidRPr="0071585D">
              <w:t>Created concrete pathways through employment, cadetships, and education, investing in the future of our people and growing our internal capability.</w:t>
            </w:r>
          </w:p>
        </w:tc>
      </w:tr>
      <w:tr w:rsidR="0071585D" w:rsidRPr="0071585D" w14:paraId="4C5E09AC" w14:textId="77777777">
        <w:tc>
          <w:tcPr>
            <w:tcW w:w="0" w:type="auto"/>
            <w:tcMar>
              <w:top w:w="150" w:type="dxa"/>
              <w:left w:w="0" w:type="dxa"/>
              <w:bottom w:w="150" w:type="dxa"/>
              <w:right w:w="240" w:type="dxa"/>
            </w:tcMar>
            <w:vAlign w:val="center"/>
            <w:hideMark/>
          </w:tcPr>
          <w:p w14:paraId="403F0F39" w14:textId="77777777" w:rsidR="0071585D" w:rsidRPr="0071585D" w:rsidRDefault="0071585D" w:rsidP="0071585D">
            <w:r w:rsidRPr="0071585D">
              <w:rPr>
                <w:b/>
                <w:bCs/>
              </w:rPr>
              <w:t>Whenua &amp; Moana</w:t>
            </w:r>
          </w:p>
        </w:tc>
        <w:tc>
          <w:tcPr>
            <w:tcW w:w="0" w:type="auto"/>
            <w:tcMar>
              <w:top w:w="150" w:type="dxa"/>
              <w:left w:w="240" w:type="dxa"/>
              <w:bottom w:w="150" w:type="dxa"/>
              <w:right w:w="0" w:type="dxa"/>
            </w:tcMar>
            <w:vAlign w:val="center"/>
            <w:hideMark/>
          </w:tcPr>
          <w:p w14:paraId="4E37C3C4" w14:textId="77777777" w:rsidR="0071585D" w:rsidRPr="0071585D" w:rsidRDefault="0071585D" w:rsidP="0071585D">
            <w:r w:rsidRPr="0071585D">
              <w:t>Protected and enhanced our environment through large-scale predator control, native planting, freshwater planning, and building community readiness.</w:t>
            </w:r>
          </w:p>
        </w:tc>
      </w:tr>
      <w:tr w:rsidR="0071585D" w:rsidRPr="0071585D" w14:paraId="75468294" w14:textId="77777777">
        <w:tc>
          <w:tcPr>
            <w:tcW w:w="0" w:type="auto"/>
            <w:tcMar>
              <w:top w:w="150" w:type="dxa"/>
              <w:left w:w="0" w:type="dxa"/>
              <w:bottom w:w="150" w:type="dxa"/>
              <w:right w:w="240" w:type="dxa"/>
            </w:tcMar>
            <w:vAlign w:val="center"/>
            <w:hideMark/>
          </w:tcPr>
          <w:p w14:paraId="4EA5F2A9" w14:textId="77777777" w:rsidR="0071585D" w:rsidRPr="0071585D" w:rsidRDefault="0071585D" w:rsidP="0071585D">
            <w:r w:rsidRPr="0071585D">
              <w:rPr>
                <w:b/>
                <w:bCs/>
              </w:rPr>
              <w:t>Culture &amp; Education</w:t>
            </w:r>
          </w:p>
        </w:tc>
        <w:tc>
          <w:tcPr>
            <w:tcW w:w="0" w:type="auto"/>
            <w:tcMar>
              <w:top w:w="150" w:type="dxa"/>
              <w:left w:w="240" w:type="dxa"/>
              <w:bottom w:w="150" w:type="dxa"/>
              <w:right w:w="0" w:type="dxa"/>
            </w:tcMar>
            <w:vAlign w:val="center"/>
            <w:hideMark/>
          </w:tcPr>
          <w:p w14:paraId="4F5B1BCE" w14:textId="77777777" w:rsidR="0071585D" w:rsidRPr="0071585D" w:rsidRDefault="0071585D" w:rsidP="0071585D">
            <w:r w:rsidRPr="0071585D">
              <w:t xml:space="preserve">Preserved and revitalised our </w:t>
            </w:r>
            <w:proofErr w:type="spellStart"/>
            <w:r w:rsidRPr="0071585D">
              <w:t>mātauranga</w:t>
            </w:r>
            <w:proofErr w:type="spellEnd"/>
            <w:r w:rsidRPr="0071585D">
              <w:t xml:space="preserve"> through the creation of lasting educational taonga and cultural development programmes.</w:t>
            </w:r>
          </w:p>
        </w:tc>
      </w:tr>
      <w:tr w:rsidR="0071585D" w:rsidRPr="0071585D" w14:paraId="49E47BEF" w14:textId="77777777">
        <w:tc>
          <w:tcPr>
            <w:tcW w:w="0" w:type="auto"/>
            <w:tcMar>
              <w:top w:w="150" w:type="dxa"/>
              <w:left w:w="0" w:type="dxa"/>
              <w:bottom w:w="150" w:type="dxa"/>
              <w:right w:w="240" w:type="dxa"/>
            </w:tcMar>
            <w:vAlign w:val="center"/>
            <w:hideMark/>
          </w:tcPr>
          <w:p w14:paraId="2D0C5251" w14:textId="77777777" w:rsidR="0071585D" w:rsidRPr="0071585D" w:rsidRDefault="0071585D" w:rsidP="0071585D">
            <w:r w:rsidRPr="0071585D">
              <w:rPr>
                <w:b/>
                <w:bCs/>
              </w:rPr>
              <w:t>Community Infrastructure</w:t>
            </w:r>
          </w:p>
        </w:tc>
        <w:tc>
          <w:tcPr>
            <w:tcW w:w="0" w:type="auto"/>
            <w:tcMar>
              <w:top w:w="150" w:type="dxa"/>
              <w:left w:w="240" w:type="dxa"/>
              <w:bottom w:w="150" w:type="dxa"/>
              <w:right w:w="0" w:type="dxa"/>
            </w:tcMar>
            <w:vAlign w:val="center"/>
            <w:hideMark/>
          </w:tcPr>
          <w:p w14:paraId="4CBEAC4A" w14:textId="77777777" w:rsidR="0071585D" w:rsidRPr="0071585D" w:rsidRDefault="0071585D" w:rsidP="0071585D">
            <w:r w:rsidRPr="0071585D">
              <w:t>Enhanced community assets and sustainability through key facility upgrades and the installation of renewable energy systems.</w:t>
            </w:r>
          </w:p>
        </w:tc>
      </w:tr>
    </w:tbl>
    <w:p w14:paraId="5D734CA0" w14:textId="77777777" w:rsidR="0071585D" w:rsidRPr="0071585D" w:rsidRDefault="0071585D" w:rsidP="0071585D">
      <w:r w:rsidRPr="0071585D">
        <w:rPr>
          <w:i/>
          <w:iCs/>
        </w:rPr>
        <w:t>The detailed performance data for these outcomes is available in our Statement of Service Performance.</w:t>
      </w:r>
    </w:p>
    <w:p w14:paraId="2214CAD7" w14:textId="77777777" w:rsidR="00E63EC9" w:rsidRDefault="00E63EC9"/>
    <w:p w14:paraId="760ED92D" w14:textId="77777777" w:rsidR="00973603" w:rsidRPr="00E63EC9" w:rsidRDefault="00000000" w:rsidP="00973603">
      <w:r>
        <w:pict w14:anchorId="4A3889E4">
          <v:rect id="_x0000_i1028" style="width:0;height:.75pt" o:hralign="center" o:hrstd="t" o:hr="t" fillcolor="#a0a0a0" stroked="f"/>
        </w:pict>
      </w:r>
    </w:p>
    <w:p w14:paraId="5ED74820" w14:textId="0D677087" w:rsidR="00973603" w:rsidRPr="00973603" w:rsidRDefault="00973603" w:rsidP="00973603">
      <w:pPr>
        <w:pStyle w:val="Heading2"/>
      </w:pPr>
      <w:bookmarkStart w:id="12" w:name="_Toc214702246"/>
      <w:r w:rsidRPr="00973603">
        <w:t>The Engine for Action: How We Delivered</w:t>
      </w:r>
      <w:bookmarkEnd w:id="12"/>
    </w:p>
    <w:p w14:paraId="7E340FCF" w14:textId="77777777" w:rsidR="00C565EC" w:rsidRDefault="00C565EC" w:rsidP="00C565EC">
      <w:r>
        <w:t>Behind every achievement is the work to build the robust engine of our strategic Poutama. This year, we focused on strengthening the five key areas that enable all our work for our people.</w:t>
      </w:r>
    </w:p>
    <w:p w14:paraId="4591E011" w14:textId="77777777" w:rsidR="00C565EC" w:rsidRDefault="00C565EC" w:rsidP="00C565EC">
      <w:r>
        <w:t xml:space="preserve">1. Embedding Our Pou in Decision-Making </w:t>
      </w:r>
    </w:p>
    <w:p w14:paraId="24F9B80D" w14:textId="69394E23" w:rsidR="00C565EC" w:rsidRDefault="00C565EC" w:rsidP="00C565EC">
      <w:pPr>
        <w:ind w:left="720"/>
      </w:pPr>
      <w:r>
        <w:t xml:space="preserve">We continue to develop frameworks to ensure our foundational Pou guide our significant project planning and </w:t>
      </w:r>
      <w:r w:rsidR="00BB7D9F">
        <w:t>operational</w:t>
      </w:r>
      <w:r>
        <w:t xml:space="preserve"> decisions.</w:t>
      </w:r>
    </w:p>
    <w:p w14:paraId="49AF13CB" w14:textId="77777777" w:rsidR="00C565EC" w:rsidRDefault="00C565EC" w:rsidP="00C565EC">
      <w:pPr>
        <w:ind w:left="720"/>
      </w:pPr>
      <w:r>
        <w:t>This ongoing work ensures our actions remain in strategic and cultural alignment with the aspirations of our whānau.</w:t>
      </w:r>
    </w:p>
    <w:p w14:paraId="2E9EE7C7" w14:textId="77777777" w:rsidR="00C565EC" w:rsidRDefault="00C565EC" w:rsidP="00C565EC">
      <w:r>
        <w:t>2. Organising to Deliver with Accountability</w:t>
      </w:r>
    </w:p>
    <w:p w14:paraId="2DD4DAD7" w14:textId="77777777" w:rsidR="00C565EC" w:rsidRDefault="00C565EC" w:rsidP="00C34EA5">
      <w:pPr>
        <w:ind w:left="720"/>
      </w:pPr>
      <w:r>
        <w:t>We maintained strong reporting and accountability to our partners and whānau, submitting all milestone reports on time.</w:t>
      </w:r>
    </w:p>
    <w:p w14:paraId="57352C97" w14:textId="4EB17612" w:rsidR="00C565EC" w:rsidRDefault="00C565EC" w:rsidP="00C34EA5">
      <w:pPr>
        <w:ind w:left="720"/>
      </w:pPr>
      <w:r>
        <w:lastRenderedPageBreak/>
        <w:t xml:space="preserve">To enhance our financial stewardship, we have partnered with the accounting firm </w:t>
      </w:r>
      <w:proofErr w:type="spellStart"/>
      <w:r>
        <w:t>Te</w:t>
      </w:r>
      <w:proofErr w:type="spellEnd"/>
      <w:r>
        <w:t xml:space="preserve"> </w:t>
      </w:r>
      <w:proofErr w:type="spellStart"/>
      <w:r>
        <w:t>Kākano</w:t>
      </w:r>
      <w:proofErr w:type="spellEnd"/>
      <w:r>
        <w:t>. This partnership is already providing improved financial reporting and insights ensuring greater clarity and accountability for our whānau.</w:t>
      </w:r>
    </w:p>
    <w:p w14:paraId="4B48267B" w14:textId="77777777" w:rsidR="00C565EC" w:rsidRDefault="00C565EC" w:rsidP="00C565EC">
      <w:r>
        <w:t>3. Progressing the Security of Our Assets</w:t>
      </w:r>
    </w:p>
    <w:p w14:paraId="52ED8F58" w14:textId="77777777" w:rsidR="00C565EC" w:rsidRDefault="00C565EC" w:rsidP="00C34EA5">
      <w:pPr>
        <w:ind w:left="720"/>
      </w:pPr>
      <w:r>
        <w:t>We actively advanced the return of our Deferred Selection Properties (DSPs), a key priority for securing our settlement assets.</w:t>
      </w:r>
    </w:p>
    <w:p w14:paraId="01BEBAFC" w14:textId="77777777" w:rsidR="00C565EC" w:rsidRDefault="00C565EC" w:rsidP="00C34EA5">
      <w:pPr>
        <w:ind w:left="720"/>
      </w:pPr>
      <w:r>
        <w:t>Our diverse funding base, managing contracts with over 15 different government and funding partners, demonstrates our ability to secure and deliver on resources trusted to us.</w:t>
      </w:r>
    </w:p>
    <w:p w14:paraId="70A2DFE2" w14:textId="77777777" w:rsidR="00C565EC" w:rsidRDefault="00C565EC" w:rsidP="00C565EC">
      <w:r>
        <w:t xml:space="preserve">4. Working the </w:t>
      </w:r>
      <w:proofErr w:type="spellStart"/>
      <w:r>
        <w:t>Rongomaiwahine</w:t>
      </w:r>
      <w:proofErr w:type="spellEnd"/>
      <w:r>
        <w:t xml:space="preserve"> Way (Working Smart)</w:t>
      </w:r>
    </w:p>
    <w:p w14:paraId="7CDC6292" w14:textId="77777777" w:rsidR="00C565EC" w:rsidRDefault="00C565EC" w:rsidP="00C34EA5">
      <w:pPr>
        <w:ind w:left="720"/>
      </w:pPr>
      <w:r>
        <w:t xml:space="preserve">Our dedicated </w:t>
      </w:r>
      <w:proofErr w:type="spellStart"/>
      <w:r>
        <w:t>kaimahi</w:t>
      </w:r>
      <w:proofErr w:type="spellEnd"/>
      <w:r>
        <w:t xml:space="preserve"> were driven by a deep conviction in our </w:t>
      </w:r>
      <w:proofErr w:type="spellStart"/>
      <w:r>
        <w:t>kaupapa</w:t>
      </w:r>
      <w:proofErr w:type="spellEnd"/>
      <w:r>
        <w:t xml:space="preserve">, ensuring community-led projects incorporated </w:t>
      </w:r>
      <w:proofErr w:type="spellStart"/>
      <w:r>
        <w:t>mātauranga</w:t>
      </w:r>
      <w:proofErr w:type="spellEnd"/>
      <w:r>
        <w:t xml:space="preserve"> Māori and tikanga.</w:t>
      </w:r>
    </w:p>
    <w:p w14:paraId="7C1852E5" w14:textId="772BD44C" w:rsidR="00C565EC" w:rsidRDefault="00C565EC" w:rsidP="00C34EA5">
      <w:pPr>
        <w:ind w:left="720"/>
      </w:pPr>
      <w:r>
        <w:t xml:space="preserve">We empowered our marae through direct </w:t>
      </w:r>
      <w:proofErr w:type="spellStart"/>
      <w:r>
        <w:t>mātauranga</w:t>
      </w:r>
      <w:proofErr w:type="spellEnd"/>
      <w:r>
        <w:t xml:space="preserve"> disbursements.</w:t>
      </w:r>
    </w:p>
    <w:p w14:paraId="12C3E5B7" w14:textId="77777777" w:rsidR="00C565EC" w:rsidRDefault="00C565EC" w:rsidP="00C565EC">
      <w:r>
        <w:t>5. Building Future Capability for a Constrained Environment</w:t>
      </w:r>
    </w:p>
    <w:p w14:paraId="25442CE9" w14:textId="5B4985A8" w:rsidR="00C565EC" w:rsidRDefault="00C565EC" w:rsidP="00C34EA5">
      <w:pPr>
        <w:ind w:left="720"/>
      </w:pPr>
      <w:r>
        <w:t xml:space="preserve">In a period of constrained government contracting, we have focused our resources on </w:t>
      </w:r>
      <w:r w:rsidR="003818DC">
        <w:t xml:space="preserve">an </w:t>
      </w:r>
      <w:r>
        <w:t>agile operational model.</w:t>
      </w:r>
    </w:p>
    <w:p w14:paraId="5F34B964" w14:textId="4040F6D7" w:rsidR="00C565EC" w:rsidRDefault="00C565EC" w:rsidP="00C34EA5">
      <w:pPr>
        <w:ind w:left="720"/>
      </w:pPr>
      <w:r>
        <w:t xml:space="preserve">A key strategic priority has been the development of an </w:t>
      </w:r>
      <w:r w:rsidR="003818DC">
        <w:t>a</w:t>
      </w:r>
      <w:r>
        <w:t xml:space="preserve">sset </w:t>
      </w:r>
      <w:r w:rsidR="003818DC">
        <w:t>h</w:t>
      </w:r>
      <w:r>
        <w:t xml:space="preserve">olding </w:t>
      </w:r>
      <w:r w:rsidR="003818DC">
        <w:t>entity</w:t>
      </w:r>
      <w:r>
        <w:t>. This entity is being designed to bring robust commercial expertise to our asset portfolio, building the capability to generate sustainable returns for the iwi independent of the fluctuating contract environment.</w:t>
      </w:r>
    </w:p>
    <w:p w14:paraId="37F3A37A" w14:textId="77777777" w:rsidR="00973603" w:rsidRDefault="00973603" w:rsidP="00973603"/>
    <w:p w14:paraId="072299F1" w14:textId="1FA807F7" w:rsidR="002B3579" w:rsidRDefault="00000000" w:rsidP="00F25614">
      <w:pPr>
        <w:sectPr w:rsidR="002B3579">
          <w:footerReference w:type="default" r:id="rId11"/>
          <w:pgSz w:w="11906" w:h="16838"/>
          <w:pgMar w:top="1440" w:right="1440" w:bottom="1440" w:left="1440" w:header="708" w:footer="708" w:gutter="0"/>
          <w:cols w:space="708"/>
          <w:docGrid w:linePitch="360"/>
        </w:sectPr>
      </w:pPr>
      <w:r>
        <w:pict w14:anchorId="63C2819F">
          <v:rect id="_x0000_i1029" style="width:0;height:.75pt" o:hralign="center" o:hrstd="t" o:hr="t" fillcolor="#a0a0a0" stroked="f"/>
        </w:pict>
      </w:r>
    </w:p>
    <w:p w14:paraId="7F5A621B" w14:textId="7E6A454E" w:rsidR="002B3579" w:rsidRPr="002B3579" w:rsidRDefault="002B3579" w:rsidP="002B3579">
      <w:pPr>
        <w:pStyle w:val="Heading2"/>
      </w:pPr>
      <w:bookmarkStart w:id="13" w:name="_Toc214702247"/>
      <w:r w:rsidRPr="002B3579">
        <w:lastRenderedPageBreak/>
        <w:t>Looking Forward: Implementing Our Annual Plan 2025-26</w:t>
      </w:r>
      <w:bookmarkEnd w:id="13"/>
    </w:p>
    <w:p w14:paraId="08D72929" w14:textId="7CB50F64" w:rsidR="007342AD" w:rsidRPr="007342AD" w:rsidRDefault="002B3579" w:rsidP="007342AD">
      <w:r w:rsidRPr="002B3579">
        <w:t>T</w:t>
      </w:r>
      <w:r w:rsidR="007342AD" w:rsidRPr="007342AD">
        <w:t>he tangible results we delivered in 2024-25 provide a proven foundation for the ambitious work outlined in our </w:t>
      </w:r>
      <w:r w:rsidR="007342AD" w:rsidRPr="007342AD">
        <w:rPr>
          <w:b/>
          <w:bCs/>
        </w:rPr>
        <w:t>Annual Plan 2025-26</w:t>
      </w:r>
      <w:r w:rsidR="007342AD" w:rsidRPr="007342AD">
        <w:t>. Our primary focus for the coming year is to deepen our understanding of whānau aspirations, ensuring all our work is directly guided by the needs and priorities of our people.</w:t>
      </w:r>
    </w:p>
    <w:tbl>
      <w:tblPr>
        <w:tblW w:w="13892" w:type="dxa"/>
        <w:tblCellMar>
          <w:top w:w="15" w:type="dxa"/>
          <w:left w:w="15" w:type="dxa"/>
          <w:bottom w:w="15" w:type="dxa"/>
          <w:right w:w="15" w:type="dxa"/>
        </w:tblCellMar>
        <w:tblLook w:val="04A0" w:firstRow="1" w:lastRow="0" w:firstColumn="1" w:lastColumn="0" w:noHBand="0" w:noVBand="1"/>
      </w:tblPr>
      <w:tblGrid>
        <w:gridCol w:w="4717"/>
        <w:gridCol w:w="9175"/>
      </w:tblGrid>
      <w:tr w:rsidR="007342AD" w:rsidRPr="007342AD" w14:paraId="3359883A" w14:textId="77777777" w:rsidTr="00824DF1">
        <w:trPr>
          <w:tblHeader/>
        </w:trPr>
        <w:tc>
          <w:tcPr>
            <w:tcW w:w="0" w:type="auto"/>
            <w:tcBorders>
              <w:top w:val="nil"/>
            </w:tcBorders>
            <w:shd w:val="clear" w:color="auto" w:fill="D9D9D9" w:themeFill="background1" w:themeFillShade="D9"/>
            <w:tcMar>
              <w:top w:w="150" w:type="dxa"/>
              <w:left w:w="0" w:type="dxa"/>
              <w:bottom w:w="150" w:type="dxa"/>
              <w:right w:w="240" w:type="dxa"/>
            </w:tcMar>
            <w:vAlign w:val="center"/>
            <w:hideMark/>
          </w:tcPr>
          <w:p w14:paraId="4152B341" w14:textId="29EE0513" w:rsidR="007342AD" w:rsidRPr="00AF35B4" w:rsidRDefault="007342AD" w:rsidP="007342AD">
            <w:pPr>
              <w:rPr>
                <w:b/>
                <w:bCs/>
              </w:rPr>
            </w:pPr>
            <w:r w:rsidRPr="00AF35B4">
              <w:rPr>
                <w:b/>
                <w:bCs/>
              </w:rPr>
              <w:t>2024-25 Foundation</w:t>
            </w:r>
          </w:p>
        </w:tc>
        <w:tc>
          <w:tcPr>
            <w:tcW w:w="9175" w:type="dxa"/>
            <w:tcBorders>
              <w:top w:val="nil"/>
            </w:tcBorders>
            <w:shd w:val="clear" w:color="auto" w:fill="D9D9D9" w:themeFill="background1" w:themeFillShade="D9"/>
            <w:tcMar>
              <w:top w:w="150" w:type="dxa"/>
              <w:left w:w="240" w:type="dxa"/>
              <w:bottom w:w="150" w:type="dxa"/>
              <w:right w:w="240" w:type="dxa"/>
            </w:tcMar>
            <w:vAlign w:val="center"/>
            <w:hideMark/>
          </w:tcPr>
          <w:p w14:paraId="1CB3A8A5" w14:textId="47E0207F" w:rsidR="007342AD" w:rsidRPr="00AF35B4" w:rsidRDefault="007342AD" w:rsidP="007342AD">
            <w:pPr>
              <w:rPr>
                <w:b/>
                <w:bCs/>
              </w:rPr>
            </w:pPr>
            <w:bookmarkStart w:id="14" w:name="OLE_LINK1"/>
            <w:r w:rsidRPr="00AF35B4">
              <w:rPr>
                <w:b/>
                <w:bCs/>
              </w:rPr>
              <w:t>2025-26 Priority Project &amp; Deliverable</w:t>
            </w:r>
            <w:bookmarkEnd w:id="14"/>
          </w:p>
        </w:tc>
      </w:tr>
      <w:tr w:rsidR="007342AD" w:rsidRPr="007342AD" w14:paraId="41ABC196" w14:textId="77777777" w:rsidTr="00824DF1">
        <w:tc>
          <w:tcPr>
            <w:tcW w:w="0" w:type="auto"/>
            <w:tcMar>
              <w:top w:w="150" w:type="dxa"/>
              <w:left w:w="0" w:type="dxa"/>
              <w:bottom w:w="150" w:type="dxa"/>
              <w:right w:w="240" w:type="dxa"/>
            </w:tcMar>
            <w:vAlign w:val="center"/>
            <w:hideMark/>
          </w:tcPr>
          <w:p w14:paraId="0CCBDB16" w14:textId="77777777" w:rsidR="007342AD" w:rsidRPr="007342AD" w:rsidRDefault="007342AD" w:rsidP="007342AD">
            <w:r w:rsidRPr="006F6261">
              <w:t>Built trusted relationships</w:t>
            </w:r>
            <w:r w:rsidRPr="007342AD">
              <w:t> through health outreach, wānanga, and community partnerships.</w:t>
            </w:r>
          </w:p>
        </w:tc>
        <w:tc>
          <w:tcPr>
            <w:tcW w:w="9175" w:type="dxa"/>
            <w:tcMar>
              <w:top w:w="150" w:type="dxa"/>
              <w:left w:w="240" w:type="dxa"/>
              <w:bottom w:w="150" w:type="dxa"/>
              <w:right w:w="0" w:type="dxa"/>
            </w:tcMar>
            <w:vAlign w:val="center"/>
            <w:hideMark/>
          </w:tcPr>
          <w:p w14:paraId="03A08F72" w14:textId="491C7B98" w:rsidR="007342AD" w:rsidRPr="007342AD" w:rsidRDefault="007342AD" w:rsidP="007342AD">
            <w:r w:rsidRPr="007342AD">
              <w:rPr>
                <w:b/>
                <w:bCs/>
              </w:rPr>
              <w:t>Whānau Engagement</w:t>
            </w:r>
            <w:r w:rsidRPr="007342AD">
              <w:br/>
              <w:t>Systematically understand whānau aspirations by developing </w:t>
            </w:r>
            <w:r w:rsidRPr="006F6261">
              <w:t xml:space="preserve">100 Hauora, </w:t>
            </w:r>
            <w:proofErr w:type="spellStart"/>
            <w:r w:rsidRPr="006F6261">
              <w:t>Rangatahi</w:t>
            </w:r>
            <w:proofErr w:type="spellEnd"/>
            <w:r w:rsidRPr="006F6261">
              <w:t>, Housing, and Resilience Plans to dir</w:t>
            </w:r>
            <w:r w:rsidRPr="007342AD">
              <w:t>ectly inform all RICT projects and strategy.</w:t>
            </w:r>
          </w:p>
        </w:tc>
      </w:tr>
      <w:tr w:rsidR="007342AD" w:rsidRPr="007342AD" w14:paraId="50E5D68A" w14:textId="77777777" w:rsidTr="00824DF1">
        <w:tc>
          <w:tcPr>
            <w:tcW w:w="0" w:type="auto"/>
            <w:tcMar>
              <w:top w:w="150" w:type="dxa"/>
              <w:left w:w="0" w:type="dxa"/>
              <w:bottom w:w="150" w:type="dxa"/>
              <w:right w:w="240" w:type="dxa"/>
            </w:tcMar>
            <w:vAlign w:val="center"/>
            <w:hideMark/>
          </w:tcPr>
          <w:p w14:paraId="752E61AB" w14:textId="77777777" w:rsidR="007342AD" w:rsidRPr="007342AD" w:rsidRDefault="007342AD" w:rsidP="007342AD">
            <w:r w:rsidRPr="007342AD">
              <w:t>Placed </w:t>
            </w:r>
            <w:r w:rsidRPr="007342AD">
              <w:rPr>
                <w:b/>
                <w:bCs/>
              </w:rPr>
              <w:t xml:space="preserve">18 </w:t>
            </w:r>
            <w:proofErr w:type="spellStart"/>
            <w:r w:rsidRPr="007342AD">
              <w:rPr>
                <w:b/>
                <w:bCs/>
              </w:rPr>
              <w:t>rangatahi</w:t>
            </w:r>
            <w:proofErr w:type="spellEnd"/>
            <w:r w:rsidRPr="007342AD">
              <w:t> into employment and secured </w:t>
            </w:r>
            <w:r w:rsidRPr="007342AD">
              <w:rPr>
                <w:b/>
                <w:bCs/>
              </w:rPr>
              <w:t>2 cadetships</w:t>
            </w:r>
            <w:r w:rsidRPr="007342AD">
              <w:t>.</w:t>
            </w:r>
          </w:p>
        </w:tc>
        <w:tc>
          <w:tcPr>
            <w:tcW w:w="9175" w:type="dxa"/>
            <w:tcMar>
              <w:top w:w="150" w:type="dxa"/>
              <w:left w:w="240" w:type="dxa"/>
              <w:bottom w:w="150" w:type="dxa"/>
              <w:right w:w="0" w:type="dxa"/>
            </w:tcMar>
            <w:vAlign w:val="center"/>
            <w:hideMark/>
          </w:tcPr>
          <w:p w14:paraId="0F65D695" w14:textId="4020B2F8" w:rsidR="007342AD" w:rsidRPr="007342AD" w:rsidRDefault="007342AD" w:rsidP="007342AD">
            <w:proofErr w:type="spellStart"/>
            <w:r w:rsidRPr="007342AD">
              <w:rPr>
                <w:b/>
                <w:bCs/>
              </w:rPr>
              <w:t>Rangatahi</w:t>
            </w:r>
            <w:proofErr w:type="spellEnd"/>
            <w:r w:rsidRPr="007342AD">
              <w:rPr>
                <w:b/>
                <w:bCs/>
              </w:rPr>
              <w:t xml:space="preserve"> Mentoring</w:t>
            </w:r>
            <w:r w:rsidRPr="007342AD">
              <w:br/>
            </w:r>
            <w:r w:rsidRPr="006F6261">
              <w:t>Formalise our support by developing personalised "</w:t>
            </w:r>
            <w:proofErr w:type="spellStart"/>
            <w:r w:rsidRPr="006F6261">
              <w:t>Rangatahi</w:t>
            </w:r>
            <w:proofErr w:type="spellEnd"/>
            <w:r w:rsidRPr="006F6261">
              <w:t xml:space="preserve"> Development Plans" for 30 youth and launching 2 new </w:t>
            </w:r>
            <w:proofErr w:type="spellStart"/>
            <w:r w:rsidRPr="006F6261">
              <w:t>rangatahi</w:t>
            </w:r>
            <w:proofErr w:type="spellEnd"/>
            <w:r w:rsidRPr="006F6261">
              <w:t>-led business initiatives.</w:t>
            </w:r>
          </w:p>
        </w:tc>
      </w:tr>
      <w:tr w:rsidR="007342AD" w:rsidRPr="007342AD" w14:paraId="792AFD73" w14:textId="77777777" w:rsidTr="00824DF1">
        <w:tc>
          <w:tcPr>
            <w:tcW w:w="0" w:type="auto"/>
            <w:tcMar>
              <w:top w:w="150" w:type="dxa"/>
              <w:left w:w="0" w:type="dxa"/>
              <w:bottom w:w="150" w:type="dxa"/>
              <w:right w:w="240" w:type="dxa"/>
            </w:tcMar>
            <w:vAlign w:val="center"/>
            <w:hideMark/>
          </w:tcPr>
          <w:p w14:paraId="1C643FC1" w14:textId="77777777" w:rsidR="007342AD" w:rsidRPr="007342AD" w:rsidRDefault="007342AD" w:rsidP="007342AD">
            <w:r w:rsidRPr="007342AD">
              <w:t>Managed </w:t>
            </w:r>
            <w:r w:rsidRPr="007342AD">
              <w:rPr>
                <w:b/>
                <w:bCs/>
              </w:rPr>
              <w:t>1,700 hectares</w:t>
            </w:r>
            <w:r w:rsidRPr="007342AD">
              <w:t> of whenua and completed the </w:t>
            </w:r>
            <w:proofErr w:type="spellStart"/>
            <w:r w:rsidRPr="007342AD">
              <w:rPr>
                <w:b/>
                <w:bCs/>
              </w:rPr>
              <w:t>Māhia</w:t>
            </w:r>
            <w:proofErr w:type="spellEnd"/>
            <w:r w:rsidRPr="007342AD">
              <w:rPr>
                <w:b/>
                <w:bCs/>
              </w:rPr>
              <w:t xml:space="preserve"> Freshwater Plan</w:t>
            </w:r>
            <w:r w:rsidRPr="007342AD">
              <w:t>.</w:t>
            </w:r>
          </w:p>
        </w:tc>
        <w:tc>
          <w:tcPr>
            <w:tcW w:w="9175" w:type="dxa"/>
            <w:tcMar>
              <w:top w:w="150" w:type="dxa"/>
              <w:left w:w="240" w:type="dxa"/>
              <w:bottom w:w="150" w:type="dxa"/>
              <w:right w:w="0" w:type="dxa"/>
            </w:tcMar>
            <w:vAlign w:val="center"/>
            <w:hideMark/>
          </w:tcPr>
          <w:p w14:paraId="4CEE9DDD" w14:textId="77777777" w:rsidR="007342AD" w:rsidRPr="007342AD" w:rsidRDefault="007342AD" w:rsidP="007342AD">
            <w:r w:rsidRPr="007342AD">
              <w:rPr>
                <w:b/>
                <w:bCs/>
              </w:rPr>
              <w:t>Nursery Project &amp; Environmental Work</w:t>
            </w:r>
            <w:r w:rsidRPr="007342AD">
              <w:br/>
            </w:r>
            <w:r w:rsidRPr="006F6261">
              <w:t>Propagate 1,000 native seedlings for catchment regeneration and establish partnerships with 4 Māori land trusts for planting.</w:t>
            </w:r>
          </w:p>
        </w:tc>
      </w:tr>
      <w:tr w:rsidR="007342AD" w:rsidRPr="007342AD" w14:paraId="18ACC72A" w14:textId="77777777" w:rsidTr="00824DF1">
        <w:tc>
          <w:tcPr>
            <w:tcW w:w="0" w:type="auto"/>
            <w:tcMar>
              <w:top w:w="150" w:type="dxa"/>
              <w:left w:w="0" w:type="dxa"/>
              <w:bottom w:w="150" w:type="dxa"/>
              <w:right w:w="240" w:type="dxa"/>
            </w:tcMar>
            <w:vAlign w:val="center"/>
            <w:hideMark/>
          </w:tcPr>
          <w:p w14:paraId="014A20A3" w14:textId="77777777" w:rsidR="007342AD" w:rsidRPr="007342AD" w:rsidRDefault="007342AD" w:rsidP="007342AD">
            <w:r w:rsidRPr="007342AD">
              <w:t>Supported </w:t>
            </w:r>
            <w:r w:rsidRPr="007342AD">
              <w:rPr>
                <w:b/>
                <w:bCs/>
              </w:rPr>
              <w:t>15 whānau</w:t>
            </w:r>
            <w:r w:rsidRPr="007342AD">
              <w:t> through the Māori Land Court process.</w:t>
            </w:r>
          </w:p>
        </w:tc>
        <w:tc>
          <w:tcPr>
            <w:tcW w:w="9175" w:type="dxa"/>
            <w:tcMar>
              <w:top w:w="150" w:type="dxa"/>
              <w:left w:w="240" w:type="dxa"/>
              <w:bottom w:w="150" w:type="dxa"/>
              <w:right w:w="0" w:type="dxa"/>
            </w:tcMar>
            <w:vAlign w:val="center"/>
            <w:hideMark/>
          </w:tcPr>
          <w:p w14:paraId="13D2CA6F" w14:textId="77777777" w:rsidR="007342AD" w:rsidRPr="007342AD" w:rsidRDefault="007342AD" w:rsidP="007342AD">
            <w:r w:rsidRPr="007342AD">
              <w:rPr>
                <w:b/>
                <w:bCs/>
              </w:rPr>
              <w:t>Housing Project</w:t>
            </w:r>
            <w:r w:rsidRPr="007342AD">
              <w:br/>
            </w:r>
            <w:r w:rsidRPr="006F6261">
              <w:t>Enable more whānau to build on their whenua by completing detailed housing plans for 25 whānau and supporting 15 whānau through the Māori Land Court.</w:t>
            </w:r>
          </w:p>
        </w:tc>
      </w:tr>
      <w:tr w:rsidR="007342AD" w:rsidRPr="007342AD" w14:paraId="1E70B25A" w14:textId="77777777" w:rsidTr="00824DF1">
        <w:tc>
          <w:tcPr>
            <w:tcW w:w="0" w:type="auto"/>
            <w:tcMar>
              <w:top w:w="150" w:type="dxa"/>
              <w:left w:w="0" w:type="dxa"/>
              <w:bottom w:w="150" w:type="dxa"/>
              <w:right w:w="240" w:type="dxa"/>
            </w:tcMar>
            <w:vAlign w:val="center"/>
            <w:hideMark/>
          </w:tcPr>
          <w:p w14:paraId="37615623" w14:textId="77777777" w:rsidR="007342AD" w:rsidRPr="00DF219F" w:rsidRDefault="007342AD" w:rsidP="007342AD">
            <w:r w:rsidRPr="00DF219F">
              <w:lastRenderedPageBreak/>
              <w:t>Provided 110 immunisations and delivered 18 outreach wānanga.</w:t>
            </w:r>
          </w:p>
        </w:tc>
        <w:tc>
          <w:tcPr>
            <w:tcW w:w="9175" w:type="dxa"/>
            <w:tcMar>
              <w:top w:w="150" w:type="dxa"/>
              <w:left w:w="240" w:type="dxa"/>
              <w:bottom w:w="150" w:type="dxa"/>
              <w:right w:w="0" w:type="dxa"/>
            </w:tcMar>
            <w:vAlign w:val="center"/>
            <w:hideMark/>
          </w:tcPr>
          <w:p w14:paraId="2C323D91" w14:textId="7668238E" w:rsidR="007342AD" w:rsidRPr="00DF219F" w:rsidRDefault="007342AD" w:rsidP="007342AD">
            <w:r w:rsidRPr="00DF219F">
              <w:t xml:space="preserve">Provide education and navigation support to 30 whānau on immunisation and deliver 6 wānanga on </w:t>
            </w:r>
            <w:proofErr w:type="spellStart"/>
            <w:r w:rsidRPr="00DF219F">
              <w:t>māra</w:t>
            </w:r>
            <w:proofErr w:type="spellEnd"/>
            <w:r w:rsidRPr="00DF219F">
              <w:t xml:space="preserve"> kai and </w:t>
            </w:r>
            <w:proofErr w:type="spellStart"/>
            <w:r w:rsidRPr="00DF219F">
              <w:t>rongoā</w:t>
            </w:r>
            <w:proofErr w:type="spellEnd"/>
            <w:r w:rsidRPr="00DF219F">
              <w:t>.</w:t>
            </w:r>
          </w:p>
        </w:tc>
      </w:tr>
      <w:tr w:rsidR="007342AD" w:rsidRPr="007342AD" w14:paraId="7AD160F6" w14:textId="77777777" w:rsidTr="00824DF1">
        <w:tc>
          <w:tcPr>
            <w:tcW w:w="0" w:type="auto"/>
            <w:tcMar>
              <w:top w:w="150" w:type="dxa"/>
              <w:left w:w="0" w:type="dxa"/>
              <w:bottom w:w="150" w:type="dxa"/>
              <w:right w:w="240" w:type="dxa"/>
            </w:tcMar>
            <w:vAlign w:val="center"/>
            <w:hideMark/>
          </w:tcPr>
          <w:p w14:paraId="6476F5E5" w14:textId="135C6DFD" w:rsidR="007342AD" w:rsidRPr="00DF219F" w:rsidRDefault="007342AD" w:rsidP="007342AD">
            <w:r w:rsidRPr="00DF219F">
              <w:t>Distributed firewood to vulnerable whānau.</w:t>
            </w:r>
          </w:p>
        </w:tc>
        <w:tc>
          <w:tcPr>
            <w:tcW w:w="9175" w:type="dxa"/>
            <w:tcMar>
              <w:top w:w="150" w:type="dxa"/>
              <w:left w:w="240" w:type="dxa"/>
              <w:bottom w:w="150" w:type="dxa"/>
              <w:right w:w="0" w:type="dxa"/>
            </w:tcMar>
            <w:vAlign w:val="center"/>
            <w:hideMark/>
          </w:tcPr>
          <w:p w14:paraId="42C42BCE" w14:textId="7F960D3C" w:rsidR="007342AD" w:rsidRPr="00DF219F" w:rsidRDefault="007342AD" w:rsidP="007342AD">
            <w:r w:rsidRPr="00DF219F">
              <w:t>Continue to support our most vulnerable by collecting and distributing firewood to 100 whānau.</w:t>
            </w:r>
          </w:p>
        </w:tc>
      </w:tr>
      <w:tr w:rsidR="007342AD" w:rsidRPr="007342AD" w14:paraId="4156B2DD" w14:textId="77777777" w:rsidTr="00824DF1">
        <w:tc>
          <w:tcPr>
            <w:tcW w:w="0" w:type="auto"/>
            <w:tcMar>
              <w:top w:w="150" w:type="dxa"/>
              <w:left w:w="0" w:type="dxa"/>
              <w:bottom w:w="150" w:type="dxa"/>
              <w:right w:w="240" w:type="dxa"/>
            </w:tcMar>
            <w:vAlign w:val="center"/>
            <w:hideMark/>
          </w:tcPr>
          <w:p w14:paraId="4D81C97C" w14:textId="793EA398" w:rsidR="007342AD" w:rsidRPr="00DF219F" w:rsidRDefault="007342AD" w:rsidP="007342AD">
            <w:r w:rsidRPr="00DF219F">
              <w:t>Partnered with the community to revitalise community gatherings.</w:t>
            </w:r>
          </w:p>
        </w:tc>
        <w:tc>
          <w:tcPr>
            <w:tcW w:w="9175" w:type="dxa"/>
            <w:tcMar>
              <w:top w:w="150" w:type="dxa"/>
              <w:left w:w="240" w:type="dxa"/>
              <w:bottom w:w="150" w:type="dxa"/>
              <w:right w:w="0" w:type="dxa"/>
            </w:tcMar>
            <w:vAlign w:val="center"/>
            <w:hideMark/>
          </w:tcPr>
          <w:p w14:paraId="071B674D" w14:textId="5DE7E428" w:rsidR="007342AD" w:rsidRPr="00DF219F" w:rsidRDefault="007342AD" w:rsidP="007342AD">
            <w:r w:rsidRPr="00DF219F">
              <w:t xml:space="preserve">Finalise the YMCA solar </w:t>
            </w:r>
            <w:r w:rsidR="0033484A" w:rsidRPr="00DF219F">
              <w:t>system</w:t>
            </w:r>
            <w:r w:rsidRPr="00DF219F">
              <w:t>, secure a new long-term lessee for Sunset Point, and establish the Asset Holding Entity for commercial expertise.</w:t>
            </w:r>
          </w:p>
        </w:tc>
      </w:tr>
      <w:tr w:rsidR="00D15E36" w:rsidRPr="007342AD" w14:paraId="73297C5A" w14:textId="77777777" w:rsidTr="00824DF1">
        <w:tc>
          <w:tcPr>
            <w:tcW w:w="0" w:type="auto"/>
            <w:tcMar>
              <w:top w:w="150" w:type="dxa"/>
              <w:left w:w="0" w:type="dxa"/>
              <w:bottom w:w="150" w:type="dxa"/>
              <w:right w:w="240" w:type="dxa"/>
            </w:tcMar>
            <w:vAlign w:val="center"/>
          </w:tcPr>
          <w:p w14:paraId="3C3E90FD" w14:textId="6121882F" w:rsidR="00D15E36" w:rsidRPr="00DF219F" w:rsidRDefault="00D15E36" w:rsidP="007342AD">
            <w:r w:rsidRPr="00DF219F">
              <w:t>MACA</w:t>
            </w:r>
          </w:p>
        </w:tc>
        <w:tc>
          <w:tcPr>
            <w:tcW w:w="9175" w:type="dxa"/>
            <w:tcMar>
              <w:top w:w="150" w:type="dxa"/>
              <w:left w:w="240" w:type="dxa"/>
              <w:bottom w:w="150" w:type="dxa"/>
              <w:right w:w="0" w:type="dxa"/>
            </w:tcMar>
            <w:vAlign w:val="center"/>
          </w:tcPr>
          <w:p w14:paraId="474D14F3" w14:textId="6924469C" w:rsidR="00D15E36" w:rsidRPr="00DF219F" w:rsidRDefault="006F6261" w:rsidP="007342AD">
            <w:r>
              <w:t>P</w:t>
            </w:r>
            <w:r w:rsidR="00D15E36" w:rsidRPr="00DF219F">
              <w:t xml:space="preserve">rogress our Marine and Coastal Area (MACA) application, building on the successful resolution of interests with </w:t>
            </w:r>
            <w:proofErr w:type="spellStart"/>
            <w:r w:rsidR="00D15E36" w:rsidRPr="00DF219F">
              <w:t>Rongomaipapa</w:t>
            </w:r>
            <w:proofErr w:type="spellEnd"/>
            <w:r w:rsidR="00D15E36" w:rsidRPr="00DF219F">
              <w:t xml:space="preserve"> and determining the most effective pathway to advance our application for the coast from </w:t>
            </w:r>
            <w:proofErr w:type="spellStart"/>
            <w:r w:rsidR="00D15E36" w:rsidRPr="00DF219F">
              <w:t>Paritu</w:t>
            </w:r>
            <w:proofErr w:type="spellEnd"/>
            <w:r w:rsidR="00D15E36" w:rsidRPr="00DF219F">
              <w:t xml:space="preserve"> to the </w:t>
            </w:r>
            <w:proofErr w:type="spellStart"/>
            <w:r w:rsidR="00D15E36" w:rsidRPr="00DF219F">
              <w:t>Nuhaka</w:t>
            </w:r>
            <w:proofErr w:type="spellEnd"/>
            <w:r w:rsidR="00D15E36" w:rsidRPr="00DF219F">
              <w:t xml:space="preserve"> River mouth.</w:t>
            </w:r>
          </w:p>
        </w:tc>
      </w:tr>
      <w:tr w:rsidR="00D15E36" w:rsidRPr="007342AD" w14:paraId="7A052D45" w14:textId="77777777" w:rsidTr="00824DF1">
        <w:tc>
          <w:tcPr>
            <w:tcW w:w="0" w:type="auto"/>
            <w:tcMar>
              <w:top w:w="150" w:type="dxa"/>
              <w:left w:w="0" w:type="dxa"/>
              <w:bottom w:w="150" w:type="dxa"/>
              <w:right w:w="240" w:type="dxa"/>
            </w:tcMar>
            <w:vAlign w:val="center"/>
          </w:tcPr>
          <w:p w14:paraId="150B58E3" w14:textId="2D7773FE" w:rsidR="00D15E36" w:rsidRPr="00DF219F" w:rsidRDefault="006A1CB0" w:rsidP="007342AD">
            <w:r w:rsidRPr="00DF219F">
              <w:t>Sunset Point</w:t>
            </w:r>
          </w:p>
        </w:tc>
        <w:tc>
          <w:tcPr>
            <w:tcW w:w="9175" w:type="dxa"/>
            <w:tcMar>
              <w:top w:w="150" w:type="dxa"/>
              <w:left w:w="240" w:type="dxa"/>
              <w:bottom w:w="150" w:type="dxa"/>
              <w:right w:w="0" w:type="dxa"/>
            </w:tcMar>
            <w:vAlign w:val="center"/>
          </w:tcPr>
          <w:p w14:paraId="70D2AC9D" w14:textId="1D28BEE6" w:rsidR="00D15E36" w:rsidRPr="00DF219F" w:rsidRDefault="0061367F" w:rsidP="00D15E36">
            <w:r w:rsidRPr="00DF219F">
              <w:t>S</w:t>
            </w:r>
            <w:r w:rsidR="00D15E36" w:rsidRPr="00DF219F">
              <w:t>ecure a new long-term tenant and complete the necessary building upgrades to ensure its long-term success</w:t>
            </w:r>
          </w:p>
          <w:p w14:paraId="6F5DBC14" w14:textId="77777777" w:rsidR="00D15E36" w:rsidRPr="00DF219F" w:rsidRDefault="00D15E36" w:rsidP="007342AD"/>
        </w:tc>
      </w:tr>
      <w:tr w:rsidR="006A1CB0" w:rsidRPr="007342AD" w14:paraId="4AAD27DE" w14:textId="77777777" w:rsidTr="00824DF1">
        <w:tc>
          <w:tcPr>
            <w:tcW w:w="0" w:type="auto"/>
            <w:tcMar>
              <w:top w:w="150" w:type="dxa"/>
              <w:left w:w="0" w:type="dxa"/>
              <w:bottom w:w="150" w:type="dxa"/>
              <w:right w:w="240" w:type="dxa"/>
            </w:tcMar>
            <w:vAlign w:val="center"/>
          </w:tcPr>
          <w:p w14:paraId="2B8F5587" w14:textId="156662F6" w:rsidR="006A1CB0" w:rsidRPr="00DF219F" w:rsidRDefault="0061367F" w:rsidP="007342AD">
            <w:r w:rsidRPr="00DF219F">
              <w:t xml:space="preserve">Acquire our </w:t>
            </w:r>
            <w:r w:rsidR="006A1CB0" w:rsidRPr="00DF219F">
              <w:t>DSP</w:t>
            </w:r>
            <w:r w:rsidRPr="00DF219F">
              <w:t xml:space="preserve">s (YMCA, </w:t>
            </w:r>
            <w:proofErr w:type="spellStart"/>
            <w:r w:rsidRPr="00DF219F">
              <w:t>Opoutama</w:t>
            </w:r>
            <w:proofErr w:type="spellEnd"/>
            <w:r w:rsidRPr="00DF219F">
              <w:t xml:space="preserve"> and Mahia Forest)</w:t>
            </w:r>
          </w:p>
        </w:tc>
        <w:tc>
          <w:tcPr>
            <w:tcW w:w="9175" w:type="dxa"/>
            <w:tcMar>
              <w:top w:w="150" w:type="dxa"/>
              <w:left w:w="240" w:type="dxa"/>
              <w:bottom w:w="150" w:type="dxa"/>
              <w:right w:w="0" w:type="dxa"/>
            </w:tcMar>
            <w:vAlign w:val="center"/>
          </w:tcPr>
          <w:p w14:paraId="34D0D5F7" w14:textId="456E7167" w:rsidR="006A1CB0" w:rsidRPr="00DF219F" w:rsidRDefault="00950F54" w:rsidP="00D15E36">
            <w:r w:rsidRPr="00950F54">
              <w:t xml:space="preserve">Finalise the transfer of the YMCA grounds. Continue to progress the transfer of the </w:t>
            </w:r>
            <w:proofErr w:type="spellStart"/>
            <w:r w:rsidRPr="00950F54">
              <w:t>Opoutama</w:t>
            </w:r>
            <w:proofErr w:type="spellEnd"/>
            <w:r w:rsidRPr="00950F54">
              <w:t xml:space="preserve"> School and the Mahia East Coast Road Forest.</w:t>
            </w:r>
          </w:p>
        </w:tc>
      </w:tr>
      <w:tr w:rsidR="006A1CB0" w:rsidRPr="007342AD" w14:paraId="7697EBA4" w14:textId="77777777" w:rsidTr="00824DF1">
        <w:tc>
          <w:tcPr>
            <w:tcW w:w="0" w:type="auto"/>
            <w:tcMar>
              <w:top w:w="150" w:type="dxa"/>
              <w:left w:w="0" w:type="dxa"/>
              <w:bottom w:w="150" w:type="dxa"/>
              <w:right w:w="240" w:type="dxa"/>
            </w:tcMar>
            <w:vAlign w:val="center"/>
          </w:tcPr>
          <w:p w14:paraId="0B53E757" w14:textId="3D81F5CF" w:rsidR="006A1CB0" w:rsidRPr="00DF219F" w:rsidRDefault="006A1CB0" w:rsidP="007342AD">
            <w:proofErr w:type="spellStart"/>
            <w:r w:rsidRPr="00DF219F">
              <w:lastRenderedPageBreak/>
              <w:t>Morere</w:t>
            </w:r>
            <w:proofErr w:type="spellEnd"/>
          </w:p>
        </w:tc>
        <w:tc>
          <w:tcPr>
            <w:tcW w:w="9175" w:type="dxa"/>
            <w:tcMar>
              <w:top w:w="150" w:type="dxa"/>
              <w:left w:w="240" w:type="dxa"/>
              <w:bottom w:w="150" w:type="dxa"/>
              <w:right w:w="0" w:type="dxa"/>
            </w:tcMar>
            <w:vAlign w:val="center"/>
          </w:tcPr>
          <w:p w14:paraId="2CDEB379" w14:textId="6DE546F0" w:rsidR="006A1CB0" w:rsidRPr="00DF219F" w:rsidRDefault="00AD09EC" w:rsidP="00D15E36">
            <w:r w:rsidRPr="00DF219F">
              <w:t xml:space="preserve">Continue our kaitiaki role on the </w:t>
            </w:r>
            <w:proofErr w:type="spellStart"/>
            <w:r w:rsidRPr="00DF219F">
              <w:t>Morere</w:t>
            </w:r>
            <w:proofErr w:type="spellEnd"/>
            <w:r w:rsidRPr="00DF219F">
              <w:t xml:space="preserve"> Hot Springs Management Committee, supporting the implementation of the </w:t>
            </w:r>
            <w:proofErr w:type="gramStart"/>
            <w:r w:rsidRPr="00DF219F">
              <w:t>culturally-grounded</w:t>
            </w:r>
            <w:proofErr w:type="gramEnd"/>
            <w:r w:rsidRPr="00DF219F">
              <w:t xml:space="preserve"> Phase 2 development plan.</w:t>
            </w:r>
          </w:p>
        </w:tc>
      </w:tr>
      <w:tr w:rsidR="006A1CB0" w:rsidRPr="007342AD" w14:paraId="31BF045A" w14:textId="77777777" w:rsidTr="00824DF1">
        <w:tc>
          <w:tcPr>
            <w:tcW w:w="0" w:type="auto"/>
            <w:tcMar>
              <w:top w:w="150" w:type="dxa"/>
              <w:left w:w="0" w:type="dxa"/>
              <w:bottom w:w="150" w:type="dxa"/>
              <w:right w:w="240" w:type="dxa"/>
            </w:tcMar>
            <w:vAlign w:val="center"/>
          </w:tcPr>
          <w:p w14:paraId="7E86B04E" w14:textId="788B903A" w:rsidR="006A1CB0" w:rsidRPr="00DF219F" w:rsidRDefault="006A1CB0" w:rsidP="007342AD">
            <w:proofErr w:type="spellStart"/>
            <w:r w:rsidRPr="00DF219F">
              <w:t>Mātauranga</w:t>
            </w:r>
            <w:proofErr w:type="spellEnd"/>
            <w:r w:rsidR="00885E5E">
              <w:t xml:space="preserve"> Educational Resource</w:t>
            </w:r>
          </w:p>
        </w:tc>
        <w:tc>
          <w:tcPr>
            <w:tcW w:w="9175" w:type="dxa"/>
            <w:tcMar>
              <w:top w:w="150" w:type="dxa"/>
              <w:left w:w="240" w:type="dxa"/>
              <w:bottom w:w="150" w:type="dxa"/>
              <w:right w:w="0" w:type="dxa"/>
            </w:tcMar>
            <w:vAlign w:val="center"/>
          </w:tcPr>
          <w:p w14:paraId="10268B69" w14:textId="5F898340" w:rsidR="006A1CB0" w:rsidRPr="00DF219F" w:rsidRDefault="003A7B49" w:rsidP="00D15E36">
            <w:r>
              <w:t>C</w:t>
            </w:r>
            <w:r w:rsidR="00AD09EC" w:rsidRPr="00DF219F">
              <w:t xml:space="preserve">o-creation of a lasting educational resource that will preserve and share our unique </w:t>
            </w:r>
            <w:proofErr w:type="spellStart"/>
            <w:r w:rsidR="00AD09EC" w:rsidRPr="00DF219F">
              <w:t>Māhia</w:t>
            </w:r>
            <w:proofErr w:type="spellEnd"/>
            <w:r w:rsidR="00AD09EC" w:rsidRPr="00DF219F">
              <w:t xml:space="preserve"> histories with all whānau for generations to come.</w:t>
            </w:r>
          </w:p>
        </w:tc>
      </w:tr>
      <w:tr w:rsidR="00EA572E" w:rsidRPr="007342AD" w14:paraId="6D2FDA0E" w14:textId="77777777" w:rsidTr="00824DF1">
        <w:tc>
          <w:tcPr>
            <w:tcW w:w="0" w:type="auto"/>
            <w:tcMar>
              <w:top w:w="150" w:type="dxa"/>
              <w:left w:w="0" w:type="dxa"/>
              <w:bottom w:w="150" w:type="dxa"/>
              <w:right w:w="240" w:type="dxa"/>
            </w:tcMar>
            <w:vAlign w:val="center"/>
          </w:tcPr>
          <w:p w14:paraId="57070004" w14:textId="1F3D5998" w:rsidR="00EA572E" w:rsidRPr="00DF219F" w:rsidRDefault="00EA572E" w:rsidP="007342AD">
            <w:r w:rsidRPr="00DF219F">
              <w:t>Strengthened governance.</w:t>
            </w:r>
          </w:p>
        </w:tc>
        <w:tc>
          <w:tcPr>
            <w:tcW w:w="9175" w:type="dxa"/>
            <w:tcMar>
              <w:top w:w="150" w:type="dxa"/>
              <w:left w:w="240" w:type="dxa"/>
              <w:bottom w:w="150" w:type="dxa"/>
              <w:right w:w="0" w:type="dxa"/>
            </w:tcMar>
            <w:vAlign w:val="center"/>
          </w:tcPr>
          <w:p w14:paraId="429870E5" w14:textId="55FC35B5" w:rsidR="00EA572E" w:rsidRPr="00DF219F" w:rsidRDefault="00EA572E" w:rsidP="00D15E36">
            <w:r w:rsidRPr="00DF219F">
              <w:t>Progress the comprehensive review of our constitutional documents to ensure our governance structures are fit for purpose and effectively serve our iwi's future needs and aspirations.</w:t>
            </w:r>
          </w:p>
        </w:tc>
      </w:tr>
      <w:tr w:rsidR="006A1CB0" w:rsidRPr="007342AD" w14:paraId="755AED50" w14:textId="77777777" w:rsidTr="00824DF1">
        <w:tc>
          <w:tcPr>
            <w:tcW w:w="0" w:type="auto"/>
            <w:tcMar>
              <w:top w:w="150" w:type="dxa"/>
              <w:left w:w="0" w:type="dxa"/>
              <w:bottom w:w="150" w:type="dxa"/>
              <w:right w:w="240" w:type="dxa"/>
            </w:tcMar>
            <w:vAlign w:val="center"/>
          </w:tcPr>
          <w:p w14:paraId="6A902C34" w14:textId="77777777" w:rsidR="006A1CB0" w:rsidRDefault="006A1CB0" w:rsidP="007342AD">
            <w:pPr>
              <w:rPr>
                <w:b/>
                <w:bCs/>
              </w:rPr>
            </w:pPr>
          </w:p>
        </w:tc>
        <w:tc>
          <w:tcPr>
            <w:tcW w:w="9175" w:type="dxa"/>
            <w:tcMar>
              <w:top w:w="150" w:type="dxa"/>
              <w:left w:w="240" w:type="dxa"/>
              <w:bottom w:w="150" w:type="dxa"/>
              <w:right w:w="0" w:type="dxa"/>
            </w:tcMar>
            <w:vAlign w:val="center"/>
          </w:tcPr>
          <w:p w14:paraId="37FCB93B" w14:textId="77777777" w:rsidR="006A1CB0" w:rsidRPr="00D15E36" w:rsidRDefault="006A1CB0" w:rsidP="00D15E36"/>
        </w:tc>
      </w:tr>
    </w:tbl>
    <w:p w14:paraId="3618A379" w14:textId="7316FC52" w:rsidR="007342AD" w:rsidRPr="007342AD" w:rsidRDefault="00824DF1" w:rsidP="007342AD">
      <w:r>
        <w:rPr>
          <w:noProof/>
        </w:rPr>
        <w:drawing>
          <wp:anchor distT="0" distB="0" distL="114300" distR="114300" simplePos="0" relativeHeight="251667456" behindDoc="1" locked="0" layoutInCell="1" allowOverlap="1" wp14:anchorId="4ADA29F0" wp14:editId="5200373E">
            <wp:simplePos x="0" y="0"/>
            <wp:positionH relativeFrom="page">
              <wp:posOffset>7372350</wp:posOffset>
            </wp:positionH>
            <wp:positionV relativeFrom="paragraph">
              <wp:posOffset>-4342765</wp:posOffset>
            </wp:positionV>
            <wp:extent cx="6657975" cy="8115300"/>
            <wp:effectExtent l="0" t="0" r="9525" b="0"/>
            <wp:wrapNone/>
            <wp:docPr id="1957209396" name="Picture 11" descr="A red and white stingr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09396" name="Picture 11" descr="A red and white stingray&#10;&#10;AI-generated content may be incorrect."/>
                    <pic:cNvPicPr/>
                  </pic:nvPicPr>
                  <pic:blipFill>
                    <a:blip r:embed="rId9" cstate="print">
                      <a:alphaModFix amt="29000"/>
                      <a:extLst>
                        <a:ext uri="{28A0092B-C50C-407E-A947-70E740481C1C}">
                          <a14:useLocalDpi xmlns:a14="http://schemas.microsoft.com/office/drawing/2010/main" val="0"/>
                        </a:ext>
                      </a:extLst>
                    </a:blip>
                    <a:stretch>
                      <a:fillRect/>
                    </a:stretch>
                  </pic:blipFill>
                  <pic:spPr>
                    <a:xfrm>
                      <a:off x="0" y="0"/>
                      <a:ext cx="6657975" cy="8115300"/>
                    </a:xfrm>
                    <a:prstGeom prst="rect">
                      <a:avLst/>
                    </a:prstGeom>
                  </pic:spPr>
                </pic:pic>
              </a:graphicData>
            </a:graphic>
            <wp14:sizeRelH relativeFrom="margin">
              <wp14:pctWidth>0</wp14:pctWidth>
            </wp14:sizeRelH>
            <wp14:sizeRelV relativeFrom="margin">
              <wp14:pctHeight>0</wp14:pctHeight>
            </wp14:sizeRelV>
          </wp:anchor>
        </w:drawing>
      </w:r>
      <w:r w:rsidR="007342AD" w:rsidRPr="007342AD">
        <w:rPr>
          <w:b/>
          <w:bCs/>
        </w:rPr>
        <w:t>Strengthening Our Engine: Operational Priorities</w:t>
      </w:r>
    </w:p>
    <w:p w14:paraId="6A4434F7" w14:textId="77777777" w:rsidR="007342AD" w:rsidRPr="007342AD" w:rsidRDefault="007342AD" w:rsidP="007342AD">
      <w:r w:rsidRPr="007342AD">
        <w:t>To support this focused delivery, we will activate key components of our "Engine for Action":</w:t>
      </w:r>
    </w:p>
    <w:p w14:paraId="55B0EA08" w14:textId="77777777" w:rsidR="007342AD" w:rsidRPr="007342AD" w:rsidRDefault="007342AD" w:rsidP="007342AD">
      <w:pPr>
        <w:numPr>
          <w:ilvl w:val="0"/>
          <w:numId w:val="24"/>
        </w:numPr>
      </w:pPr>
      <w:r w:rsidRPr="007E5C49">
        <w:t>Implement the "Pou Decision-Filter" to ensure all significant</w:t>
      </w:r>
      <w:r w:rsidRPr="007342AD">
        <w:t xml:space="preserve"> Trust decisions are guided by our foundational values</w:t>
      </w:r>
    </w:p>
    <w:p w14:paraId="7F0F09DF" w14:textId="77777777" w:rsidR="007342AD" w:rsidRPr="007342AD" w:rsidRDefault="007342AD" w:rsidP="007342AD">
      <w:pPr>
        <w:numPr>
          <w:ilvl w:val="0"/>
          <w:numId w:val="24"/>
        </w:numPr>
      </w:pPr>
      <w:r w:rsidRPr="007E5C49">
        <w:t>Conduct formal Quarterly Project Reviews to maintain</w:t>
      </w:r>
      <w:r w:rsidRPr="007342AD">
        <w:t xml:space="preserve"> accountability and strategic alignment</w:t>
      </w:r>
    </w:p>
    <w:p w14:paraId="7EFAAF76" w14:textId="77777777" w:rsidR="007342AD" w:rsidRPr="007342AD" w:rsidRDefault="007342AD" w:rsidP="007342AD">
      <w:pPr>
        <w:numPr>
          <w:ilvl w:val="0"/>
          <w:numId w:val="24"/>
        </w:numPr>
      </w:pPr>
      <w:r w:rsidRPr="007E5C49">
        <w:t>Finalise the Asset Holding Entity to bring robust</w:t>
      </w:r>
      <w:r w:rsidRPr="007342AD">
        <w:t xml:space="preserve"> commercial expertise to our asset development</w:t>
      </w:r>
    </w:p>
    <w:p w14:paraId="722A4105" w14:textId="77777777" w:rsidR="007342AD" w:rsidRPr="007342AD" w:rsidRDefault="007342AD" w:rsidP="007342AD">
      <w:r w:rsidRPr="007342AD">
        <w:rPr>
          <w:b/>
          <w:bCs/>
        </w:rPr>
        <w:t>Activating Paused Projects</w:t>
      </w:r>
    </w:p>
    <w:p w14:paraId="5A0D4018" w14:textId="77777777" w:rsidR="007342AD" w:rsidRPr="007342AD" w:rsidRDefault="007342AD" w:rsidP="007342AD">
      <w:r w:rsidRPr="007342AD">
        <w:t xml:space="preserve">The </w:t>
      </w:r>
      <w:r w:rsidRPr="007E5C49">
        <w:t>strategic groundwork laid this year positions us to activate currently paused projects as opportunities arise. The completion of the </w:t>
      </w:r>
      <w:proofErr w:type="spellStart"/>
      <w:r w:rsidRPr="007E5C49">
        <w:t>Māhia</w:t>
      </w:r>
      <w:proofErr w:type="spellEnd"/>
      <w:r w:rsidRPr="007E5C49">
        <w:t xml:space="preserve"> Freshwater Plan, for example, means we are ready to advance "</w:t>
      </w:r>
      <w:proofErr w:type="spellStart"/>
      <w:r w:rsidRPr="007E5C49">
        <w:t>Te</w:t>
      </w:r>
      <w:proofErr w:type="spellEnd"/>
      <w:r w:rsidRPr="007E5C49">
        <w:t xml:space="preserve"> Mana o </w:t>
      </w:r>
      <w:proofErr w:type="spellStart"/>
      <w:r w:rsidRPr="007E5C49">
        <w:t>Te</w:t>
      </w:r>
      <w:proofErr w:type="spellEnd"/>
      <w:r w:rsidRPr="007E5C49">
        <w:t xml:space="preserve"> Wai" work as soon as funding allows.</w:t>
      </w:r>
    </w:p>
    <w:p w14:paraId="4960CC7C" w14:textId="417EA850" w:rsidR="007342AD" w:rsidRPr="007342AD" w:rsidRDefault="007342AD" w:rsidP="007342AD">
      <w:r w:rsidRPr="007342AD">
        <w:lastRenderedPageBreak/>
        <w:t xml:space="preserve">The success of this past year proves our model works. We enter 2025-26 with a clear plan centred on listening to our whānau, and the confidence to build on this solid foundation for the continued benefit of </w:t>
      </w:r>
      <w:proofErr w:type="spellStart"/>
      <w:r w:rsidRPr="007342AD">
        <w:t>Rongomaiwahine</w:t>
      </w:r>
      <w:proofErr w:type="spellEnd"/>
      <w:r w:rsidRPr="007342AD">
        <w:t>.</w:t>
      </w:r>
    </w:p>
    <w:p w14:paraId="27BAD4AF" w14:textId="21917CE0" w:rsidR="00E53C1F" w:rsidRDefault="00E53C1F" w:rsidP="007342AD">
      <w:pPr>
        <w:rPr>
          <w:b/>
          <w:bCs/>
        </w:rPr>
        <w:sectPr w:rsidR="00E53C1F" w:rsidSect="00E53C1F">
          <w:pgSz w:w="16838" w:h="11906" w:orient="landscape"/>
          <w:pgMar w:top="1440" w:right="1440" w:bottom="1440" w:left="1440" w:header="709" w:footer="709" w:gutter="0"/>
          <w:cols w:space="708"/>
          <w:docGrid w:linePitch="360"/>
        </w:sectPr>
      </w:pPr>
    </w:p>
    <w:p w14:paraId="590EA92C" w14:textId="69FECD6C" w:rsidR="002B3579" w:rsidRPr="002B3579" w:rsidRDefault="00000000" w:rsidP="002B3579">
      <w:r>
        <w:lastRenderedPageBreak/>
        <w:pict w14:anchorId="1AF61178">
          <v:rect id="_x0000_i1030" style="width:0;height:.75pt" o:hralign="center" o:hrstd="t" o:hr="t" fillcolor="#a0a0a0" stroked="f"/>
        </w:pict>
      </w:r>
    </w:p>
    <w:p w14:paraId="34E41F5C" w14:textId="77777777" w:rsidR="00A06F4B" w:rsidRPr="00A06F4B" w:rsidRDefault="00A06F4B" w:rsidP="00A06F4B">
      <w:pPr>
        <w:rPr>
          <w:rFonts w:asciiTheme="majorHAnsi" w:eastAsiaTheme="majorEastAsia" w:hAnsiTheme="majorHAnsi" w:cstheme="majorBidi"/>
          <w:color w:val="0F4761" w:themeColor="accent1" w:themeShade="BF"/>
          <w:sz w:val="32"/>
          <w:szCs w:val="32"/>
        </w:rPr>
      </w:pPr>
      <w:r w:rsidRPr="00A06F4B">
        <w:rPr>
          <w:rFonts w:asciiTheme="majorHAnsi" w:eastAsiaTheme="majorEastAsia" w:hAnsiTheme="majorHAnsi" w:cstheme="majorBidi"/>
          <w:color w:val="0F4761" w:themeColor="accent1" w:themeShade="BF"/>
          <w:sz w:val="32"/>
          <w:szCs w:val="32"/>
        </w:rPr>
        <w:t>Financial Stewardship</w:t>
      </w:r>
    </w:p>
    <w:p w14:paraId="2E93EDAE" w14:textId="77777777" w:rsidR="00A06F4B" w:rsidRPr="00A06F4B" w:rsidRDefault="00A06F4B" w:rsidP="00A06F4B">
      <w:r w:rsidRPr="00A06F4B">
        <w:t xml:space="preserve">The </w:t>
      </w:r>
      <w:proofErr w:type="spellStart"/>
      <w:r w:rsidRPr="00A06F4B">
        <w:t>Rongomaiwahine</w:t>
      </w:r>
      <w:proofErr w:type="spellEnd"/>
      <w:r w:rsidRPr="00A06F4B">
        <w:t xml:space="preserve"> Iwi Trust Group has maintained a position of financial sustainability for the year ended 30 June 2025. Our focus on aligning operational costs with secure revenue has ensured we can continue to deliver high-impact outcomes for our whānau while investing in our future resilience.</w:t>
      </w:r>
    </w:p>
    <w:p w14:paraId="7C11FD35" w14:textId="77777777" w:rsidR="00A06F4B" w:rsidRPr="00A06F4B" w:rsidRDefault="00A06F4B" w:rsidP="00A06F4B">
      <w:r w:rsidRPr="00A06F4B">
        <w:t>The full audited financial statements, which provide a complete record of our financial performance and position, are available upon request.</w:t>
      </w:r>
    </w:p>
    <w:p w14:paraId="10E4B720" w14:textId="5D021B74" w:rsidR="002B3579" w:rsidRPr="002B3579" w:rsidRDefault="002B3579" w:rsidP="002B3579"/>
    <w:p w14:paraId="31520365" w14:textId="37659AD1" w:rsidR="002B3579" w:rsidRPr="002B3579" w:rsidRDefault="00000000" w:rsidP="002B3579">
      <w:r>
        <w:pict w14:anchorId="6D08EE80">
          <v:rect id="_x0000_i1031" style="width:0;height:.75pt" o:hralign="center" o:hrstd="t" o:hr="t" fillcolor="#a0a0a0" stroked="f"/>
        </w:pict>
      </w:r>
    </w:p>
    <w:p w14:paraId="3258F915" w14:textId="7B0BFAFE" w:rsidR="002B3579" w:rsidRPr="002B3579" w:rsidRDefault="002B3579" w:rsidP="002B3579">
      <w:pPr>
        <w:pStyle w:val="Heading2"/>
      </w:pPr>
      <w:bookmarkStart w:id="15" w:name="_Toc214702248"/>
      <w:r w:rsidRPr="002B3579">
        <w:t>Acknowledgements</w:t>
      </w:r>
      <w:bookmarkEnd w:id="15"/>
    </w:p>
    <w:p w14:paraId="1A5867BC" w14:textId="649B17FF" w:rsidR="002B3579" w:rsidRPr="002B3579" w:rsidRDefault="002B3579" w:rsidP="002B3579">
      <w:r w:rsidRPr="002B3579">
        <w:t xml:space="preserve">Our achievements this year </w:t>
      </w:r>
      <w:proofErr w:type="gramStart"/>
      <w:r w:rsidRPr="002B3579">
        <w:t>are a reflection of</w:t>
      </w:r>
      <w:proofErr w:type="gramEnd"/>
      <w:r w:rsidRPr="002B3579">
        <w:t xml:space="preserve"> the collective effort, unwavering support, and shared commitment of many. We extend our deepest gratitude to:</w:t>
      </w:r>
    </w:p>
    <w:p w14:paraId="4C904740" w14:textId="63AB8457" w:rsidR="002B3579" w:rsidRPr="002B3579" w:rsidRDefault="002B3579" w:rsidP="002B3579">
      <w:r w:rsidRPr="002B3579">
        <w:rPr>
          <w:b/>
          <w:bCs/>
        </w:rPr>
        <w:t>To our Whānau:</w:t>
      </w:r>
      <w:r w:rsidRPr="002B3579">
        <w:br/>
        <w:t>Thank you for your participation, trust, and guidance. Your aspirations are the reason for our work and the measure of our success.</w:t>
      </w:r>
    </w:p>
    <w:p w14:paraId="560A45AE" w14:textId="278E2139" w:rsidR="002B3579" w:rsidRPr="002B3579" w:rsidRDefault="002B3579" w:rsidP="002B3579">
      <w:r w:rsidRPr="002B3579">
        <w:rPr>
          <w:b/>
          <w:bCs/>
        </w:rPr>
        <w:t xml:space="preserve">To our </w:t>
      </w:r>
      <w:proofErr w:type="spellStart"/>
      <w:r w:rsidRPr="002B3579">
        <w:rPr>
          <w:b/>
          <w:bCs/>
        </w:rPr>
        <w:t>Kaimahi</w:t>
      </w:r>
      <w:proofErr w:type="spellEnd"/>
      <w:r w:rsidRPr="002B3579">
        <w:rPr>
          <w:b/>
          <w:bCs/>
        </w:rPr>
        <w:t>:</w:t>
      </w:r>
      <w:r w:rsidRPr="002B3579">
        <w:br/>
        <w:t xml:space="preserve">Our heartfelt appreciation goes to every staff member and volunteer. Your profound dedication, hard work, and deep conviction in our </w:t>
      </w:r>
      <w:proofErr w:type="spellStart"/>
      <w:r w:rsidRPr="002B3579">
        <w:t>kaupapa</w:t>
      </w:r>
      <w:proofErr w:type="spellEnd"/>
      <w:r w:rsidRPr="002B3579">
        <w:t xml:space="preserve"> are the engine behind every achievement in this report.</w:t>
      </w:r>
    </w:p>
    <w:p w14:paraId="631FFF79" w14:textId="2453107E" w:rsidR="002B3579" w:rsidRPr="002B3579" w:rsidRDefault="002B3579" w:rsidP="002B3579">
      <w:r w:rsidRPr="002B3579">
        <w:rPr>
          <w:b/>
          <w:bCs/>
        </w:rPr>
        <w:t>To our Partners and Funders:</w:t>
      </w:r>
      <w:r w:rsidRPr="002B3579">
        <w:br/>
        <w:t>We are grateful for the collaborative relationships with our key partners, including:</w:t>
      </w:r>
    </w:p>
    <w:p w14:paraId="5D98A7F0" w14:textId="6DAD60E6" w:rsidR="002B3579" w:rsidRPr="002B3579" w:rsidRDefault="002B3579" w:rsidP="002B3579">
      <w:pPr>
        <w:numPr>
          <w:ilvl w:val="0"/>
          <w:numId w:val="23"/>
        </w:numPr>
      </w:pPr>
      <w:proofErr w:type="spellStart"/>
      <w:r w:rsidRPr="002B3579">
        <w:t>Te</w:t>
      </w:r>
      <w:proofErr w:type="spellEnd"/>
      <w:r w:rsidRPr="002B3579">
        <w:t xml:space="preserve"> Whatu Ora</w:t>
      </w:r>
    </w:p>
    <w:p w14:paraId="446F7A01" w14:textId="5609DE29" w:rsidR="002B3579" w:rsidRPr="002B3579" w:rsidRDefault="002B3579" w:rsidP="002B3579">
      <w:pPr>
        <w:numPr>
          <w:ilvl w:val="0"/>
          <w:numId w:val="23"/>
        </w:numPr>
      </w:pPr>
      <w:r w:rsidRPr="002B3579">
        <w:t>Ministry of Social Development</w:t>
      </w:r>
    </w:p>
    <w:p w14:paraId="03A84DB6" w14:textId="77777777" w:rsidR="002B3579" w:rsidRPr="002B3579" w:rsidRDefault="002B3579" w:rsidP="002B3579">
      <w:pPr>
        <w:numPr>
          <w:ilvl w:val="0"/>
          <w:numId w:val="23"/>
        </w:numPr>
      </w:pPr>
      <w:r w:rsidRPr="002B3579">
        <w:t>Department of Conservation</w:t>
      </w:r>
    </w:p>
    <w:p w14:paraId="6AB9EE52" w14:textId="0B1B3012" w:rsidR="002B3579" w:rsidRPr="002B3579" w:rsidRDefault="002B3579" w:rsidP="002B3579">
      <w:pPr>
        <w:numPr>
          <w:ilvl w:val="0"/>
          <w:numId w:val="23"/>
        </w:numPr>
      </w:pPr>
      <w:r w:rsidRPr="002B3579">
        <w:t>Ministry for the Environment</w:t>
      </w:r>
    </w:p>
    <w:p w14:paraId="79F8AA42" w14:textId="77777777" w:rsidR="002B3579" w:rsidRPr="002B3579" w:rsidRDefault="002B3579" w:rsidP="002B3579">
      <w:pPr>
        <w:numPr>
          <w:ilvl w:val="0"/>
          <w:numId w:val="23"/>
        </w:numPr>
      </w:pPr>
      <w:proofErr w:type="spellStart"/>
      <w:r w:rsidRPr="002B3579">
        <w:t>Te</w:t>
      </w:r>
      <w:proofErr w:type="spellEnd"/>
      <w:r w:rsidRPr="002B3579">
        <w:t xml:space="preserve"> </w:t>
      </w:r>
      <w:proofErr w:type="spellStart"/>
      <w:r w:rsidRPr="002B3579">
        <w:t>Arawhiti</w:t>
      </w:r>
      <w:proofErr w:type="spellEnd"/>
    </w:p>
    <w:p w14:paraId="53A8AA73" w14:textId="39647896" w:rsidR="002B3579" w:rsidRPr="002B3579" w:rsidRDefault="002B3579" w:rsidP="002B3579">
      <w:pPr>
        <w:numPr>
          <w:ilvl w:val="0"/>
          <w:numId w:val="23"/>
        </w:numPr>
      </w:pPr>
      <w:r w:rsidRPr="002B3579">
        <w:t>Wairoa District Council</w:t>
      </w:r>
    </w:p>
    <w:p w14:paraId="089FDD04" w14:textId="77777777" w:rsidR="002B3579" w:rsidRPr="002B3579" w:rsidRDefault="002B3579" w:rsidP="002B3579">
      <w:pPr>
        <w:numPr>
          <w:ilvl w:val="0"/>
          <w:numId w:val="23"/>
        </w:numPr>
      </w:pPr>
      <w:r w:rsidRPr="002B3579">
        <w:t>Hawkes Bay Regional Council</w:t>
      </w:r>
    </w:p>
    <w:p w14:paraId="77EE90C1" w14:textId="77777777" w:rsidR="002B3579" w:rsidRPr="002B3579" w:rsidRDefault="002B3579" w:rsidP="002B3579">
      <w:pPr>
        <w:numPr>
          <w:ilvl w:val="0"/>
          <w:numId w:val="23"/>
        </w:numPr>
      </w:pPr>
      <w:r w:rsidRPr="002B3579">
        <w:t>Ministry of Education</w:t>
      </w:r>
    </w:p>
    <w:p w14:paraId="1634460F" w14:textId="77777777" w:rsidR="002B3579" w:rsidRPr="002B3579" w:rsidRDefault="002B3579" w:rsidP="002B3579">
      <w:pPr>
        <w:numPr>
          <w:ilvl w:val="0"/>
          <w:numId w:val="23"/>
        </w:numPr>
      </w:pPr>
      <w:r w:rsidRPr="002B3579">
        <w:t>Cyclone Gabrielle Appeal Trust</w:t>
      </w:r>
    </w:p>
    <w:p w14:paraId="6E70705C" w14:textId="77777777" w:rsidR="002B3579" w:rsidRPr="002B3579" w:rsidRDefault="002B3579" w:rsidP="002B3579">
      <w:pPr>
        <w:numPr>
          <w:ilvl w:val="0"/>
          <w:numId w:val="23"/>
        </w:numPr>
      </w:pPr>
      <w:r w:rsidRPr="002B3579">
        <w:lastRenderedPageBreak/>
        <w:t>Eastern and Central Community Trust</w:t>
      </w:r>
    </w:p>
    <w:p w14:paraId="6A935B20" w14:textId="77777777" w:rsidR="002B3579" w:rsidRPr="002B3579" w:rsidRDefault="002B3579" w:rsidP="002B3579">
      <w:pPr>
        <w:numPr>
          <w:ilvl w:val="0"/>
          <w:numId w:val="23"/>
        </w:numPr>
      </w:pPr>
      <w:r w:rsidRPr="002B3579">
        <w:t>The Tindall Foundation</w:t>
      </w:r>
    </w:p>
    <w:p w14:paraId="321BD56F" w14:textId="6A648AB9" w:rsidR="002B3579" w:rsidRPr="002B3579" w:rsidRDefault="002B3579" w:rsidP="002B3579">
      <w:pPr>
        <w:numPr>
          <w:ilvl w:val="0"/>
          <w:numId w:val="23"/>
        </w:numPr>
      </w:pPr>
      <w:proofErr w:type="gramStart"/>
      <w:r w:rsidRPr="002B3579">
        <w:t>World Wide</w:t>
      </w:r>
      <w:proofErr w:type="gramEnd"/>
      <w:r w:rsidRPr="002B3579">
        <w:t xml:space="preserve"> Fund for Nature New Zealand</w:t>
      </w:r>
    </w:p>
    <w:p w14:paraId="70D7D1FF" w14:textId="77777777" w:rsidR="002B3579" w:rsidRPr="002B3579" w:rsidRDefault="002B3579" w:rsidP="002B3579">
      <w:pPr>
        <w:numPr>
          <w:ilvl w:val="0"/>
          <w:numId w:val="23"/>
        </w:numPr>
      </w:pPr>
      <w:r w:rsidRPr="002B3579">
        <w:t xml:space="preserve">Wairoa Young Achiever Trust (He Rau </w:t>
      </w:r>
      <w:proofErr w:type="spellStart"/>
      <w:r w:rsidRPr="002B3579">
        <w:t>Ringa</w:t>
      </w:r>
      <w:proofErr w:type="spellEnd"/>
      <w:r w:rsidRPr="002B3579">
        <w:t xml:space="preserve"> Wairoa)</w:t>
      </w:r>
    </w:p>
    <w:p w14:paraId="625EA7CB" w14:textId="13302DAD" w:rsidR="007C41D7" w:rsidRDefault="007C41D7" w:rsidP="002B3579">
      <w:pPr>
        <w:numPr>
          <w:ilvl w:val="0"/>
          <w:numId w:val="23"/>
        </w:numPr>
      </w:pPr>
      <w:proofErr w:type="spellStart"/>
      <w:r>
        <w:t>Te</w:t>
      </w:r>
      <w:proofErr w:type="spellEnd"/>
      <w:r>
        <w:t xml:space="preserve"> Whare Maire O </w:t>
      </w:r>
      <w:proofErr w:type="spellStart"/>
      <w:r>
        <w:t>Tapuwae</w:t>
      </w:r>
      <w:proofErr w:type="spellEnd"/>
    </w:p>
    <w:p w14:paraId="22A01934" w14:textId="15C5DA91" w:rsidR="002B3579" w:rsidRPr="002B3579" w:rsidRDefault="002B3579" w:rsidP="002B3579">
      <w:pPr>
        <w:numPr>
          <w:ilvl w:val="0"/>
          <w:numId w:val="23"/>
        </w:numPr>
      </w:pPr>
      <w:proofErr w:type="spellStart"/>
      <w:r w:rsidRPr="002B3579">
        <w:t>Toitu</w:t>
      </w:r>
      <w:proofErr w:type="spellEnd"/>
      <w:r w:rsidRPr="002B3579">
        <w:t xml:space="preserve"> </w:t>
      </w:r>
      <w:proofErr w:type="spellStart"/>
      <w:r w:rsidRPr="002B3579">
        <w:t>Te</w:t>
      </w:r>
      <w:proofErr w:type="spellEnd"/>
      <w:r w:rsidRPr="002B3579">
        <w:t xml:space="preserve"> Ora</w:t>
      </w:r>
    </w:p>
    <w:p w14:paraId="72F39337" w14:textId="77777777" w:rsidR="002B3579" w:rsidRPr="002B3579" w:rsidRDefault="002B3579" w:rsidP="002B3579">
      <w:pPr>
        <w:numPr>
          <w:ilvl w:val="0"/>
          <w:numId w:val="23"/>
        </w:numPr>
      </w:pPr>
      <w:proofErr w:type="spellStart"/>
      <w:r w:rsidRPr="002B3579">
        <w:t>Te</w:t>
      </w:r>
      <w:proofErr w:type="spellEnd"/>
      <w:r w:rsidRPr="002B3579">
        <w:t xml:space="preserve"> Rau Ora</w:t>
      </w:r>
    </w:p>
    <w:p w14:paraId="05638F15" w14:textId="77777777" w:rsidR="002B3579" w:rsidRPr="002B3579" w:rsidRDefault="002B3579" w:rsidP="002B3579">
      <w:pPr>
        <w:numPr>
          <w:ilvl w:val="0"/>
          <w:numId w:val="23"/>
        </w:numPr>
      </w:pPr>
      <w:r w:rsidRPr="002B3579">
        <w:t>And all our other supporting organisations.</w:t>
      </w:r>
    </w:p>
    <w:p w14:paraId="5774D3E5" w14:textId="77777777" w:rsidR="002B3579" w:rsidRPr="002B3579" w:rsidRDefault="002B3579" w:rsidP="002B3579">
      <w:r w:rsidRPr="002B3579">
        <w:rPr>
          <w:b/>
          <w:bCs/>
        </w:rPr>
        <w:t xml:space="preserve">To the </w:t>
      </w:r>
      <w:proofErr w:type="spellStart"/>
      <w:r w:rsidRPr="002B3579">
        <w:rPr>
          <w:b/>
          <w:bCs/>
        </w:rPr>
        <w:t>Rongomaiwahine</w:t>
      </w:r>
      <w:proofErr w:type="spellEnd"/>
      <w:r w:rsidRPr="002B3579">
        <w:rPr>
          <w:b/>
          <w:bCs/>
        </w:rPr>
        <w:t xml:space="preserve"> Iwi Trust Board:</w:t>
      </w:r>
      <w:r w:rsidRPr="002B3579">
        <w:br/>
        <w:t>Thank you for your strategic governance, guidance, and steadfast support.</w:t>
      </w:r>
    </w:p>
    <w:p w14:paraId="37F1EC08" w14:textId="77777777" w:rsidR="002B3579" w:rsidRPr="002B3579" w:rsidRDefault="002B3579" w:rsidP="002B3579">
      <w:r w:rsidRPr="002B3579">
        <w:rPr>
          <w:i/>
          <w:iCs/>
        </w:rPr>
        <w:t xml:space="preserve">"He </w:t>
      </w:r>
      <w:proofErr w:type="spellStart"/>
      <w:r w:rsidRPr="002B3579">
        <w:rPr>
          <w:i/>
          <w:iCs/>
        </w:rPr>
        <w:t>rāngai</w:t>
      </w:r>
      <w:proofErr w:type="spellEnd"/>
      <w:r w:rsidRPr="002B3579">
        <w:rPr>
          <w:i/>
          <w:iCs/>
        </w:rPr>
        <w:t xml:space="preserve"> maomao ka taka </w:t>
      </w:r>
      <w:proofErr w:type="spellStart"/>
      <w:r w:rsidRPr="002B3579">
        <w:rPr>
          <w:i/>
          <w:iCs/>
        </w:rPr>
        <w:t>i</w:t>
      </w:r>
      <w:proofErr w:type="spellEnd"/>
      <w:r w:rsidRPr="002B3579">
        <w:rPr>
          <w:i/>
          <w:iCs/>
        </w:rPr>
        <w:t xml:space="preserve"> </w:t>
      </w:r>
      <w:proofErr w:type="spellStart"/>
      <w:r w:rsidRPr="002B3579">
        <w:rPr>
          <w:i/>
          <w:iCs/>
        </w:rPr>
        <w:t>tua</w:t>
      </w:r>
      <w:proofErr w:type="spellEnd"/>
      <w:r w:rsidRPr="002B3579">
        <w:rPr>
          <w:i/>
          <w:iCs/>
        </w:rPr>
        <w:t xml:space="preserve"> o </w:t>
      </w:r>
      <w:proofErr w:type="spellStart"/>
      <w:r w:rsidRPr="002B3579">
        <w:rPr>
          <w:i/>
          <w:iCs/>
        </w:rPr>
        <w:t>Nukutaurua</w:t>
      </w:r>
      <w:proofErr w:type="spellEnd"/>
      <w:r w:rsidRPr="002B3579">
        <w:rPr>
          <w:i/>
          <w:iCs/>
        </w:rPr>
        <w:t xml:space="preserve"> e kore e muri a </w:t>
      </w:r>
      <w:proofErr w:type="spellStart"/>
      <w:r w:rsidRPr="002B3579">
        <w:rPr>
          <w:i/>
          <w:iCs/>
        </w:rPr>
        <w:t>hokia</w:t>
      </w:r>
      <w:proofErr w:type="spellEnd"/>
      <w:r w:rsidRPr="002B3579">
        <w:rPr>
          <w:i/>
          <w:iCs/>
        </w:rPr>
        <w:t>."</w:t>
      </w:r>
      <w:r w:rsidRPr="002B3579">
        <w:br/>
      </w:r>
      <w:r w:rsidRPr="002B3579">
        <w:rPr>
          <w:i/>
          <w:iCs/>
        </w:rPr>
        <w:t>A shoal of fish that passes the reef would not return until another season.</w:t>
      </w:r>
      <w:r w:rsidRPr="002B3579">
        <w:br/>
      </w:r>
      <w:r w:rsidRPr="002B3579">
        <w:rPr>
          <w:b/>
          <w:bCs/>
        </w:rPr>
        <w:t>We are committed to seizing this year's opportunities for the benefit of our people.</w:t>
      </w:r>
    </w:p>
    <w:p w14:paraId="56F8C1B3" w14:textId="77777777" w:rsidR="002B3579" w:rsidRPr="002B3579" w:rsidRDefault="00000000" w:rsidP="002B3579">
      <w:r>
        <w:pict w14:anchorId="0AB29066">
          <v:rect id="_x0000_i1032" style="width:0;height:.75pt" o:hralign="center" o:hrstd="t" o:hr="t" fillcolor="#a0a0a0" stroked="f"/>
        </w:pict>
      </w:r>
    </w:p>
    <w:p w14:paraId="202BE538" w14:textId="0C806028" w:rsidR="002B3579" w:rsidRDefault="002B3579" w:rsidP="002B3579">
      <w:proofErr w:type="spellStart"/>
      <w:r w:rsidRPr="002B3579">
        <w:rPr>
          <w:b/>
          <w:bCs/>
        </w:rPr>
        <w:t>Rongomaiwahine</w:t>
      </w:r>
      <w:proofErr w:type="spellEnd"/>
      <w:r w:rsidRPr="002B3579">
        <w:rPr>
          <w:b/>
          <w:bCs/>
        </w:rPr>
        <w:t xml:space="preserve"> Iwi Trust</w:t>
      </w:r>
      <w:r w:rsidRPr="002B3579">
        <w:br/>
        <w:t>58 YMCA Rd, Mahia, Hawkes Bay</w:t>
      </w:r>
      <w:r w:rsidRPr="002B3579">
        <w:br/>
        <w:t>PO Box 9, Mahia 4166</w:t>
      </w:r>
      <w:r w:rsidRPr="002B3579">
        <w:br/>
      </w:r>
      <w:hyperlink r:id="rId12" w:tgtFrame="_blank" w:history="1">
        <w:r w:rsidRPr="002B3579">
          <w:rPr>
            <w:rStyle w:val="Hyperlink"/>
          </w:rPr>
          <w:t>www.rongomaiwahine.iwi.nz</w:t>
        </w:r>
      </w:hyperlink>
    </w:p>
    <w:p w14:paraId="15EB1C6A" w14:textId="77777777" w:rsidR="00B97CFD" w:rsidRDefault="00B97CFD" w:rsidP="002B3579"/>
    <w:p w14:paraId="79EB3B61" w14:textId="77777777" w:rsidR="00B97CFD" w:rsidRDefault="00B97CFD" w:rsidP="002B3579"/>
    <w:p w14:paraId="74FC8A0D" w14:textId="77777777" w:rsidR="00B97CFD" w:rsidRDefault="00B97CFD" w:rsidP="002B3579"/>
    <w:p w14:paraId="3DAA9452" w14:textId="77777777" w:rsidR="00B97CFD" w:rsidRDefault="00B97CFD" w:rsidP="002B3579"/>
    <w:p w14:paraId="75E42F10" w14:textId="77777777" w:rsidR="00B97CFD" w:rsidRDefault="00B97CFD" w:rsidP="002B3579"/>
    <w:p w14:paraId="4C80AFFF" w14:textId="77777777" w:rsidR="00B97CFD" w:rsidRDefault="00B97CFD" w:rsidP="002B3579"/>
    <w:p w14:paraId="1A970BD8" w14:textId="77777777" w:rsidR="00B97CFD" w:rsidRDefault="00B97CFD" w:rsidP="002B3579"/>
    <w:p w14:paraId="43B5E69F" w14:textId="77777777" w:rsidR="00B97CFD" w:rsidRDefault="00B97CFD" w:rsidP="002B3579"/>
    <w:p w14:paraId="76E41EB4" w14:textId="77777777" w:rsidR="00B97CFD" w:rsidRDefault="00B97CFD" w:rsidP="002B3579"/>
    <w:p w14:paraId="093D45DF" w14:textId="77777777" w:rsidR="00B97CFD" w:rsidRDefault="00B97CFD" w:rsidP="002B3579"/>
    <w:p w14:paraId="09D4BE69" w14:textId="32B2FF98" w:rsidR="00B97CFD" w:rsidRPr="002B3579" w:rsidRDefault="00B97CFD" w:rsidP="002B3579">
      <w:r w:rsidRPr="00B97CFD">
        <w:rPr>
          <w:i/>
          <w:iCs/>
        </w:rPr>
        <w:t>This document was developed with the support of AI tools to enhance our work processes.</w:t>
      </w:r>
    </w:p>
    <w:sectPr w:rsidR="00B97CFD" w:rsidRPr="002B35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296F" w14:textId="77777777" w:rsidR="00E72C9B" w:rsidRDefault="00E72C9B" w:rsidP="00B80AAD">
      <w:pPr>
        <w:spacing w:after="0" w:line="240" w:lineRule="auto"/>
      </w:pPr>
      <w:r>
        <w:separator/>
      </w:r>
    </w:p>
  </w:endnote>
  <w:endnote w:type="continuationSeparator" w:id="0">
    <w:p w14:paraId="57BA4E6F" w14:textId="77777777" w:rsidR="00E72C9B" w:rsidRDefault="00E72C9B" w:rsidP="00B8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137876"/>
      <w:docPartObj>
        <w:docPartGallery w:val="Page Numbers (Bottom of Page)"/>
        <w:docPartUnique/>
      </w:docPartObj>
    </w:sdtPr>
    <w:sdtEndPr>
      <w:rPr>
        <w:noProof/>
      </w:rPr>
    </w:sdtEndPr>
    <w:sdtContent>
      <w:p w14:paraId="366102D0" w14:textId="4FBC3844" w:rsidR="00DF219F" w:rsidRDefault="00DF21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0CF997" w14:textId="77777777" w:rsidR="00B80AAD" w:rsidRDefault="00B80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52C4" w14:textId="77777777" w:rsidR="00E72C9B" w:rsidRDefault="00E72C9B" w:rsidP="00B80AAD">
      <w:pPr>
        <w:spacing w:after="0" w:line="240" w:lineRule="auto"/>
      </w:pPr>
      <w:r>
        <w:separator/>
      </w:r>
    </w:p>
  </w:footnote>
  <w:footnote w:type="continuationSeparator" w:id="0">
    <w:p w14:paraId="0F1E20AA" w14:textId="77777777" w:rsidR="00E72C9B" w:rsidRDefault="00E72C9B" w:rsidP="00B80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66EE"/>
    <w:multiLevelType w:val="multilevel"/>
    <w:tmpl w:val="0644A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C7C65"/>
    <w:multiLevelType w:val="multilevel"/>
    <w:tmpl w:val="FDAC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242B7"/>
    <w:multiLevelType w:val="multilevel"/>
    <w:tmpl w:val="3BC0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E704F"/>
    <w:multiLevelType w:val="multilevel"/>
    <w:tmpl w:val="B176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B2748"/>
    <w:multiLevelType w:val="multilevel"/>
    <w:tmpl w:val="64DCB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52E4B"/>
    <w:multiLevelType w:val="multilevel"/>
    <w:tmpl w:val="81FE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45570"/>
    <w:multiLevelType w:val="multilevel"/>
    <w:tmpl w:val="DBB0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E5215"/>
    <w:multiLevelType w:val="multilevel"/>
    <w:tmpl w:val="6882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049CB"/>
    <w:multiLevelType w:val="multilevel"/>
    <w:tmpl w:val="53D2F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76E3E"/>
    <w:multiLevelType w:val="multilevel"/>
    <w:tmpl w:val="01B0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318B6"/>
    <w:multiLevelType w:val="multilevel"/>
    <w:tmpl w:val="6DC8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73361"/>
    <w:multiLevelType w:val="multilevel"/>
    <w:tmpl w:val="96B0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F5044"/>
    <w:multiLevelType w:val="multilevel"/>
    <w:tmpl w:val="F72E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B57EC"/>
    <w:multiLevelType w:val="multilevel"/>
    <w:tmpl w:val="7504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4789B"/>
    <w:multiLevelType w:val="multilevel"/>
    <w:tmpl w:val="4BD2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B4D43"/>
    <w:multiLevelType w:val="multilevel"/>
    <w:tmpl w:val="87F65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3B3902"/>
    <w:multiLevelType w:val="multilevel"/>
    <w:tmpl w:val="90F0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B90AB8"/>
    <w:multiLevelType w:val="multilevel"/>
    <w:tmpl w:val="C1A69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315D5"/>
    <w:multiLevelType w:val="multilevel"/>
    <w:tmpl w:val="A68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70D5A"/>
    <w:multiLevelType w:val="multilevel"/>
    <w:tmpl w:val="BC021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C833F0"/>
    <w:multiLevelType w:val="multilevel"/>
    <w:tmpl w:val="6AC4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932F3F"/>
    <w:multiLevelType w:val="multilevel"/>
    <w:tmpl w:val="741C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BF4B88"/>
    <w:multiLevelType w:val="multilevel"/>
    <w:tmpl w:val="F0B4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1402A7"/>
    <w:multiLevelType w:val="multilevel"/>
    <w:tmpl w:val="C5E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4355DA"/>
    <w:multiLevelType w:val="multilevel"/>
    <w:tmpl w:val="A1C6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E9157E"/>
    <w:multiLevelType w:val="multilevel"/>
    <w:tmpl w:val="67AE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954416">
    <w:abstractNumId w:val="21"/>
  </w:num>
  <w:num w:numId="2" w16cid:durableId="941766764">
    <w:abstractNumId w:val="23"/>
  </w:num>
  <w:num w:numId="3" w16cid:durableId="867068445">
    <w:abstractNumId w:val="16"/>
  </w:num>
  <w:num w:numId="4" w16cid:durableId="738135128">
    <w:abstractNumId w:val="7"/>
  </w:num>
  <w:num w:numId="5" w16cid:durableId="903371016">
    <w:abstractNumId w:val="4"/>
  </w:num>
  <w:num w:numId="6" w16cid:durableId="1074815509">
    <w:abstractNumId w:val="15"/>
  </w:num>
  <w:num w:numId="7" w16cid:durableId="1548031579">
    <w:abstractNumId w:val="0"/>
  </w:num>
  <w:num w:numId="8" w16cid:durableId="1107232109">
    <w:abstractNumId w:val="17"/>
  </w:num>
  <w:num w:numId="9" w16cid:durableId="1886985127">
    <w:abstractNumId w:val="19"/>
  </w:num>
  <w:num w:numId="10" w16cid:durableId="103037973">
    <w:abstractNumId w:val="10"/>
  </w:num>
  <w:num w:numId="11" w16cid:durableId="105466566">
    <w:abstractNumId w:val="9"/>
  </w:num>
  <w:num w:numId="12" w16cid:durableId="2049067881">
    <w:abstractNumId w:val="18"/>
  </w:num>
  <w:num w:numId="13" w16cid:durableId="150293062">
    <w:abstractNumId w:val="13"/>
  </w:num>
  <w:num w:numId="14" w16cid:durableId="1601446067">
    <w:abstractNumId w:val="6"/>
  </w:num>
  <w:num w:numId="15" w16cid:durableId="765732173">
    <w:abstractNumId w:val="5"/>
  </w:num>
  <w:num w:numId="16" w16cid:durableId="319891052">
    <w:abstractNumId w:val="2"/>
  </w:num>
  <w:num w:numId="17" w16cid:durableId="1945573254">
    <w:abstractNumId w:val="14"/>
  </w:num>
  <w:num w:numId="18" w16cid:durableId="337082056">
    <w:abstractNumId w:val="1"/>
  </w:num>
  <w:num w:numId="19" w16cid:durableId="839852837">
    <w:abstractNumId w:val="24"/>
  </w:num>
  <w:num w:numId="20" w16cid:durableId="1666395317">
    <w:abstractNumId w:val="22"/>
  </w:num>
  <w:num w:numId="21" w16cid:durableId="61681847">
    <w:abstractNumId w:val="20"/>
  </w:num>
  <w:num w:numId="22" w16cid:durableId="679813802">
    <w:abstractNumId w:val="3"/>
  </w:num>
  <w:num w:numId="23" w16cid:durableId="903103972">
    <w:abstractNumId w:val="25"/>
  </w:num>
  <w:num w:numId="24" w16cid:durableId="722824670">
    <w:abstractNumId w:val="11"/>
  </w:num>
  <w:num w:numId="25" w16cid:durableId="1526597324">
    <w:abstractNumId w:val="8"/>
  </w:num>
  <w:num w:numId="26" w16cid:durableId="46223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13"/>
    <w:rsid w:val="00061638"/>
    <w:rsid w:val="00082365"/>
    <w:rsid w:val="00092180"/>
    <w:rsid w:val="000D3908"/>
    <w:rsid w:val="000E4361"/>
    <w:rsid w:val="000F17B6"/>
    <w:rsid w:val="00110DC0"/>
    <w:rsid w:val="00122D13"/>
    <w:rsid w:val="0013664B"/>
    <w:rsid w:val="00175C1D"/>
    <w:rsid w:val="00187CBE"/>
    <w:rsid w:val="001A2CD4"/>
    <w:rsid w:val="001A3BAC"/>
    <w:rsid w:val="001B104E"/>
    <w:rsid w:val="002170D6"/>
    <w:rsid w:val="002242E4"/>
    <w:rsid w:val="0022669E"/>
    <w:rsid w:val="00236F4F"/>
    <w:rsid w:val="00246F5F"/>
    <w:rsid w:val="002718FD"/>
    <w:rsid w:val="00282F44"/>
    <w:rsid w:val="00290C40"/>
    <w:rsid w:val="002A65CB"/>
    <w:rsid w:val="002B3579"/>
    <w:rsid w:val="002B7360"/>
    <w:rsid w:val="002C6121"/>
    <w:rsid w:val="002D6003"/>
    <w:rsid w:val="002E101A"/>
    <w:rsid w:val="003162DF"/>
    <w:rsid w:val="00316FC3"/>
    <w:rsid w:val="0033484A"/>
    <w:rsid w:val="00344007"/>
    <w:rsid w:val="00344215"/>
    <w:rsid w:val="00373116"/>
    <w:rsid w:val="003818DC"/>
    <w:rsid w:val="003A0740"/>
    <w:rsid w:val="003A7B49"/>
    <w:rsid w:val="003B49EC"/>
    <w:rsid w:val="003C23FD"/>
    <w:rsid w:val="003D594A"/>
    <w:rsid w:val="003E0036"/>
    <w:rsid w:val="004067A9"/>
    <w:rsid w:val="00410D15"/>
    <w:rsid w:val="0042020A"/>
    <w:rsid w:val="004218A8"/>
    <w:rsid w:val="00431DC2"/>
    <w:rsid w:val="004538ED"/>
    <w:rsid w:val="0046394F"/>
    <w:rsid w:val="004D1E8F"/>
    <w:rsid w:val="004E6771"/>
    <w:rsid w:val="00502EBC"/>
    <w:rsid w:val="00503C7B"/>
    <w:rsid w:val="00525900"/>
    <w:rsid w:val="00541390"/>
    <w:rsid w:val="005A7A13"/>
    <w:rsid w:val="005B5D03"/>
    <w:rsid w:val="005C23DE"/>
    <w:rsid w:val="005C4A34"/>
    <w:rsid w:val="005C6DEE"/>
    <w:rsid w:val="005E2DD0"/>
    <w:rsid w:val="005E4CFF"/>
    <w:rsid w:val="0061367F"/>
    <w:rsid w:val="00615254"/>
    <w:rsid w:val="00643F74"/>
    <w:rsid w:val="00664AB4"/>
    <w:rsid w:val="006A1CB0"/>
    <w:rsid w:val="006B26D8"/>
    <w:rsid w:val="006C6024"/>
    <w:rsid w:val="006C6736"/>
    <w:rsid w:val="006F6261"/>
    <w:rsid w:val="00711D3E"/>
    <w:rsid w:val="0071585D"/>
    <w:rsid w:val="00731CD5"/>
    <w:rsid w:val="007342AD"/>
    <w:rsid w:val="007C130A"/>
    <w:rsid w:val="007C226E"/>
    <w:rsid w:val="007C41D7"/>
    <w:rsid w:val="007E5C49"/>
    <w:rsid w:val="00821CFC"/>
    <w:rsid w:val="00824DF1"/>
    <w:rsid w:val="008342DD"/>
    <w:rsid w:val="00840947"/>
    <w:rsid w:val="0086121A"/>
    <w:rsid w:val="00875033"/>
    <w:rsid w:val="00880019"/>
    <w:rsid w:val="00882FB9"/>
    <w:rsid w:val="0088561E"/>
    <w:rsid w:val="00885E5E"/>
    <w:rsid w:val="00894628"/>
    <w:rsid w:val="008A7BBC"/>
    <w:rsid w:val="008B0DBA"/>
    <w:rsid w:val="008C3AE6"/>
    <w:rsid w:val="008E000A"/>
    <w:rsid w:val="008E4B07"/>
    <w:rsid w:val="008F33E6"/>
    <w:rsid w:val="008F6A88"/>
    <w:rsid w:val="00904965"/>
    <w:rsid w:val="009173F3"/>
    <w:rsid w:val="00934247"/>
    <w:rsid w:val="0095015A"/>
    <w:rsid w:val="00950F54"/>
    <w:rsid w:val="009550A1"/>
    <w:rsid w:val="009624E7"/>
    <w:rsid w:val="00973603"/>
    <w:rsid w:val="0097528F"/>
    <w:rsid w:val="009A649B"/>
    <w:rsid w:val="009B49F0"/>
    <w:rsid w:val="00A06F4B"/>
    <w:rsid w:val="00A25D61"/>
    <w:rsid w:val="00A40634"/>
    <w:rsid w:val="00A40BE7"/>
    <w:rsid w:val="00A50543"/>
    <w:rsid w:val="00A609CA"/>
    <w:rsid w:val="00A730F7"/>
    <w:rsid w:val="00A814B4"/>
    <w:rsid w:val="00A93358"/>
    <w:rsid w:val="00AA02F9"/>
    <w:rsid w:val="00AC165C"/>
    <w:rsid w:val="00AD09EC"/>
    <w:rsid w:val="00AD46D5"/>
    <w:rsid w:val="00AE3620"/>
    <w:rsid w:val="00AE3C6B"/>
    <w:rsid w:val="00AE7503"/>
    <w:rsid w:val="00AF35B4"/>
    <w:rsid w:val="00B20EE4"/>
    <w:rsid w:val="00B550AF"/>
    <w:rsid w:val="00B55F73"/>
    <w:rsid w:val="00B80AAD"/>
    <w:rsid w:val="00B95616"/>
    <w:rsid w:val="00B96ABE"/>
    <w:rsid w:val="00B97CFD"/>
    <w:rsid w:val="00BA4203"/>
    <w:rsid w:val="00BB7D9F"/>
    <w:rsid w:val="00BC6AB6"/>
    <w:rsid w:val="00BF52AE"/>
    <w:rsid w:val="00C24602"/>
    <w:rsid w:val="00C25857"/>
    <w:rsid w:val="00C31D1C"/>
    <w:rsid w:val="00C34EA5"/>
    <w:rsid w:val="00C3778B"/>
    <w:rsid w:val="00C37BA0"/>
    <w:rsid w:val="00C565EC"/>
    <w:rsid w:val="00C869F8"/>
    <w:rsid w:val="00CA6CDE"/>
    <w:rsid w:val="00CD175F"/>
    <w:rsid w:val="00CD3D93"/>
    <w:rsid w:val="00CE3E2A"/>
    <w:rsid w:val="00CF2946"/>
    <w:rsid w:val="00CF5D17"/>
    <w:rsid w:val="00D15AFF"/>
    <w:rsid w:val="00D15E36"/>
    <w:rsid w:val="00D57EB1"/>
    <w:rsid w:val="00D65A60"/>
    <w:rsid w:val="00D8260A"/>
    <w:rsid w:val="00D94934"/>
    <w:rsid w:val="00D97FB7"/>
    <w:rsid w:val="00DB1921"/>
    <w:rsid w:val="00DD21F4"/>
    <w:rsid w:val="00DD2C0B"/>
    <w:rsid w:val="00DE33BE"/>
    <w:rsid w:val="00DE55ED"/>
    <w:rsid w:val="00DF219F"/>
    <w:rsid w:val="00DF6829"/>
    <w:rsid w:val="00E024E7"/>
    <w:rsid w:val="00E03C90"/>
    <w:rsid w:val="00E102CA"/>
    <w:rsid w:val="00E53428"/>
    <w:rsid w:val="00E53C1F"/>
    <w:rsid w:val="00E61D2D"/>
    <w:rsid w:val="00E63EC9"/>
    <w:rsid w:val="00E64DB2"/>
    <w:rsid w:val="00E65F9A"/>
    <w:rsid w:val="00E70390"/>
    <w:rsid w:val="00E72738"/>
    <w:rsid w:val="00E72C9B"/>
    <w:rsid w:val="00EA572E"/>
    <w:rsid w:val="00EB1A29"/>
    <w:rsid w:val="00EE512E"/>
    <w:rsid w:val="00F01535"/>
    <w:rsid w:val="00F25614"/>
    <w:rsid w:val="00F25852"/>
    <w:rsid w:val="00F32159"/>
    <w:rsid w:val="00F47B95"/>
    <w:rsid w:val="00F50ACC"/>
    <w:rsid w:val="00F940A8"/>
    <w:rsid w:val="00FB2D3B"/>
    <w:rsid w:val="00FD11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D4B01"/>
  <w15:chartTrackingRefBased/>
  <w15:docId w15:val="{E56CF1B2-F6D5-4527-AB57-A247E67F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4E7"/>
  </w:style>
  <w:style w:type="paragraph" w:styleId="Heading1">
    <w:name w:val="heading 1"/>
    <w:basedOn w:val="Normal"/>
    <w:next w:val="Normal"/>
    <w:link w:val="Heading1Char"/>
    <w:uiPriority w:val="9"/>
    <w:qFormat/>
    <w:rsid w:val="00122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2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2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D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D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D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D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2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2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D13"/>
    <w:rPr>
      <w:rFonts w:eastAsiaTheme="majorEastAsia" w:cstheme="majorBidi"/>
      <w:color w:val="272727" w:themeColor="text1" w:themeTint="D8"/>
    </w:rPr>
  </w:style>
  <w:style w:type="paragraph" w:styleId="Title">
    <w:name w:val="Title"/>
    <w:basedOn w:val="Normal"/>
    <w:next w:val="Normal"/>
    <w:link w:val="TitleChar"/>
    <w:uiPriority w:val="10"/>
    <w:qFormat/>
    <w:rsid w:val="00122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D13"/>
    <w:pPr>
      <w:spacing w:before="160"/>
      <w:jc w:val="center"/>
    </w:pPr>
    <w:rPr>
      <w:i/>
      <w:iCs/>
      <w:color w:val="404040" w:themeColor="text1" w:themeTint="BF"/>
    </w:rPr>
  </w:style>
  <w:style w:type="character" w:customStyle="1" w:styleId="QuoteChar">
    <w:name w:val="Quote Char"/>
    <w:basedOn w:val="DefaultParagraphFont"/>
    <w:link w:val="Quote"/>
    <w:uiPriority w:val="29"/>
    <w:rsid w:val="00122D13"/>
    <w:rPr>
      <w:i/>
      <w:iCs/>
      <w:color w:val="404040" w:themeColor="text1" w:themeTint="BF"/>
    </w:rPr>
  </w:style>
  <w:style w:type="paragraph" w:styleId="ListParagraph">
    <w:name w:val="List Paragraph"/>
    <w:basedOn w:val="Normal"/>
    <w:uiPriority w:val="34"/>
    <w:qFormat/>
    <w:rsid w:val="00122D13"/>
    <w:pPr>
      <w:ind w:left="720"/>
      <w:contextualSpacing/>
    </w:pPr>
  </w:style>
  <w:style w:type="character" w:styleId="IntenseEmphasis">
    <w:name w:val="Intense Emphasis"/>
    <w:basedOn w:val="DefaultParagraphFont"/>
    <w:uiPriority w:val="21"/>
    <w:qFormat/>
    <w:rsid w:val="00122D13"/>
    <w:rPr>
      <w:i/>
      <w:iCs/>
      <w:color w:val="0F4761" w:themeColor="accent1" w:themeShade="BF"/>
    </w:rPr>
  </w:style>
  <w:style w:type="paragraph" w:styleId="IntenseQuote">
    <w:name w:val="Intense Quote"/>
    <w:basedOn w:val="Normal"/>
    <w:next w:val="Normal"/>
    <w:link w:val="IntenseQuoteChar"/>
    <w:uiPriority w:val="30"/>
    <w:qFormat/>
    <w:rsid w:val="00122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D13"/>
    <w:rPr>
      <w:i/>
      <w:iCs/>
      <w:color w:val="0F4761" w:themeColor="accent1" w:themeShade="BF"/>
    </w:rPr>
  </w:style>
  <w:style w:type="character" w:styleId="IntenseReference">
    <w:name w:val="Intense Reference"/>
    <w:basedOn w:val="DefaultParagraphFont"/>
    <w:uiPriority w:val="32"/>
    <w:qFormat/>
    <w:rsid w:val="00122D13"/>
    <w:rPr>
      <w:b/>
      <w:bCs/>
      <w:smallCaps/>
      <w:color w:val="0F4761" w:themeColor="accent1" w:themeShade="BF"/>
      <w:spacing w:val="5"/>
    </w:rPr>
  </w:style>
  <w:style w:type="character" w:styleId="Hyperlink">
    <w:name w:val="Hyperlink"/>
    <w:basedOn w:val="DefaultParagraphFont"/>
    <w:uiPriority w:val="99"/>
    <w:unhideWhenUsed/>
    <w:rsid w:val="00C25857"/>
    <w:rPr>
      <w:color w:val="467886" w:themeColor="hyperlink"/>
      <w:u w:val="single"/>
    </w:rPr>
  </w:style>
  <w:style w:type="character" w:styleId="UnresolvedMention">
    <w:name w:val="Unresolved Mention"/>
    <w:basedOn w:val="DefaultParagraphFont"/>
    <w:uiPriority w:val="99"/>
    <w:semiHidden/>
    <w:unhideWhenUsed/>
    <w:rsid w:val="00C25857"/>
    <w:rPr>
      <w:color w:val="605E5C"/>
      <w:shd w:val="clear" w:color="auto" w:fill="E1DFDD"/>
    </w:rPr>
  </w:style>
  <w:style w:type="paragraph" w:styleId="TOCHeading">
    <w:name w:val="TOC Heading"/>
    <w:basedOn w:val="Heading1"/>
    <w:next w:val="Normal"/>
    <w:uiPriority w:val="39"/>
    <w:unhideWhenUsed/>
    <w:qFormat/>
    <w:rsid w:val="00A25D61"/>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A25D61"/>
    <w:pPr>
      <w:spacing w:after="100"/>
    </w:pPr>
  </w:style>
  <w:style w:type="paragraph" w:styleId="TOC2">
    <w:name w:val="toc 2"/>
    <w:basedOn w:val="Normal"/>
    <w:next w:val="Normal"/>
    <w:autoRedefine/>
    <w:uiPriority w:val="39"/>
    <w:unhideWhenUsed/>
    <w:rsid w:val="00A25D61"/>
    <w:pPr>
      <w:spacing w:after="100"/>
      <w:ind w:left="240"/>
    </w:pPr>
  </w:style>
  <w:style w:type="paragraph" w:styleId="TOC3">
    <w:name w:val="toc 3"/>
    <w:basedOn w:val="Normal"/>
    <w:next w:val="Normal"/>
    <w:autoRedefine/>
    <w:uiPriority w:val="39"/>
    <w:unhideWhenUsed/>
    <w:rsid w:val="00A25D61"/>
    <w:pPr>
      <w:spacing w:after="100"/>
      <w:ind w:left="480"/>
    </w:pPr>
  </w:style>
  <w:style w:type="paragraph" w:styleId="Header">
    <w:name w:val="header"/>
    <w:basedOn w:val="Normal"/>
    <w:link w:val="HeaderChar"/>
    <w:uiPriority w:val="99"/>
    <w:unhideWhenUsed/>
    <w:rsid w:val="00B80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AAD"/>
  </w:style>
  <w:style w:type="paragraph" w:styleId="Footer">
    <w:name w:val="footer"/>
    <w:basedOn w:val="Normal"/>
    <w:link w:val="FooterChar"/>
    <w:uiPriority w:val="99"/>
    <w:unhideWhenUsed/>
    <w:rsid w:val="00B80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AAD"/>
  </w:style>
  <w:style w:type="character" w:styleId="CommentReference">
    <w:name w:val="annotation reference"/>
    <w:basedOn w:val="DefaultParagraphFont"/>
    <w:uiPriority w:val="99"/>
    <w:semiHidden/>
    <w:unhideWhenUsed/>
    <w:rsid w:val="00082365"/>
    <w:rPr>
      <w:sz w:val="16"/>
      <w:szCs w:val="16"/>
    </w:rPr>
  </w:style>
  <w:style w:type="paragraph" w:styleId="CommentText">
    <w:name w:val="annotation text"/>
    <w:basedOn w:val="Normal"/>
    <w:link w:val="CommentTextChar"/>
    <w:uiPriority w:val="99"/>
    <w:unhideWhenUsed/>
    <w:rsid w:val="00082365"/>
    <w:pPr>
      <w:spacing w:line="240" w:lineRule="auto"/>
    </w:pPr>
    <w:rPr>
      <w:sz w:val="20"/>
      <w:szCs w:val="20"/>
    </w:rPr>
  </w:style>
  <w:style w:type="character" w:customStyle="1" w:styleId="CommentTextChar">
    <w:name w:val="Comment Text Char"/>
    <w:basedOn w:val="DefaultParagraphFont"/>
    <w:link w:val="CommentText"/>
    <w:uiPriority w:val="99"/>
    <w:rsid w:val="00082365"/>
    <w:rPr>
      <w:sz w:val="20"/>
      <w:szCs w:val="20"/>
    </w:rPr>
  </w:style>
  <w:style w:type="paragraph" w:styleId="CommentSubject">
    <w:name w:val="annotation subject"/>
    <w:basedOn w:val="CommentText"/>
    <w:next w:val="CommentText"/>
    <w:link w:val="CommentSubjectChar"/>
    <w:uiPriority w:val="99"/>
    <w:semiHidden/>
    <w:unhideWhenUsed/>
    <w:rsid w:val="00082365"/>
    <w:rPr>
      <w:b/>
      <w:bCs/>
    </w:rPr>
  </w:style>
  <w:style w:type="character" w:customStyle="1" w:styleId="CommentSubjectChar">
    <w:name w:val="Comment Subject Char"/>
    <w:basedOn w:val="CommentTextChar"/>
    <w:link w:val="CommentSubject"/>
    <w:uiPriority w:val="99"/>
    <w:semiHidden/>
    <w:rsid w:val="00082365"/>
    <w:rPr>
      <w:b/>
      <w:bCs/>
      <w:sz w:val="20"/>
      <w:szCs w:val="20"/>
    </w:rPr>
  </w:style>
  <w:style w:type="character" w:styleId="Strong">
    <w:name w:val="Strong"/>
    <w:basedOn w:val="DefaultParagraphFont"/>
    <w:uiPriority w:val="22"/>
    <w:qFormat/>
    <w:rsid w:val="00AD09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ngomaiwahine.iwi.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75354-3AD9-4541-A5E7-F648831F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20</Pages>
  <Words>3390</Words>
  <Characters>19159</Characters>
  <Application>Microsoft Office Word</Application>
  <DocSecurity>0</DocSecurity>
  <Lines>491</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Maru</dc:creator>
  <cp:keywords/>
  <dc:description/>
  <cp:lastModifiedBy>Terence Maru</cp:lastModifiedBy>
  <cp:revision>56</cp:revision>
  <dcterms:created xsi:type="dcterms:W3CDTF">2025-11-20T22:02:00Z</dcterms:created>
  <dcterms:modified xsi:type="dcterms:W3CDTF">2025-11-21T22:10:00Z</dcterms:modified>
</cp:coreProperties>
</file>